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1FD71F">
      <w:pPr>
        <w:numPr>
          <w:ilvl w:val="0"/>
          <w:numId w:val="0"/>
        </w:numPr>
        <w:overflowPunct w:val="0"/>
        <w:topLinePunct/>
        <w:spacing w:line="440" w:lineRule="exact"/>
        <w:jc w:val="center"/>
        <w:rPr>
          <w:rFonts w:hint="eastAsia" w:ascii="宋体" w:hAnsi="宋体" w:cs="宋体"/>
          <w:b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b/>
          <w:color w:val="auto"/>
          <w:sz w:val="24"/>
          <w:szCs w:val="24"/>
          <w:highlight w:val="none"/>
        </w:rPr>
        <w:t>开标一览表</w:t>
      </w:r>
    </w:p>
    <w:p w14:paraId="1E342DE0">
      <w:pPr>
        <w:numPr>
          <w:ilvl w:val="0"/>
          <w:numId w:val="0"/>
        </w:numPr>
        <w:overflowPunct w:val="0"/>
        <w:topLinePunct/>
        <w:spacing w:line="440" w:lineRule="exact"/>
        <w:jc w:val="center"/>
        <w:rPr>
          <w:rFonts w:hint="eastAsia" w:ascii="宋体" w:hAnsi="宋体" w:cs="宋体"/>
          <w:b/>
          <w:color w:val="auto"/>
          <w:sz w:val="24"/>
          <w:szCs w:val="24"/>
          <w:highlight w:val="none"/>
        </w:rPr>
      </w:pPr>
    </w:p>
    <w:tbl>
      <w:tblPr>
        <w:tblStyle w:val="6"/>
        <w:tblW w:w="87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14"/>
        <w:gridCol w:w="7266"/>
      </w:tblGrid>
      <w:tr w14:paraId="74D1A7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16" w:hRule="atLeast"/>
          <w:jc w:val="center"/>
        </w:trPr>
        <w:tc>
          <w:tcPr>
            <w:tcW w:w="1514" w:type="dxa"/>
            <w:noWrap w:val="0"/>
            <w:vAlign w:val="center"/>
          </w:tcPr>
          <w:p w14:paraId="5A7D5D78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投标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  <w:t>总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报价</w:t>
            </w:r>
          </w:p>
        </w:tc>
        <w:tc>
          <w:tcPr>
            <w:tcW w:w="7266" w:type="dxa"/>
            <w:noWrap w:val="0"/>
            <w:vAlign w:val="center"/>
          </w:tcPr>
          <w:p w14:paraId="53F020F9">
            <w:pPr>
              <w:spacing w:line="360" w:lineRule="exact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</w:rPr>
              <w:t>大写：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u w:val="single"/>
              </w:rPr>
              <w:t xml:space="preserve">      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</w:rPr>
              <w:t>元</w:t>
            </w:r>
          </w:p>
          <w:p w14:paraId="6DCDD989">
            <w:pPr>
              <w:spacing w:line="360" w:lineRule="exac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</w:rPr>
              <w:t>小写：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u w:val="single"/>
              </w:rPr>
              <w:t xml:space="preserve">      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</w:rPr>
              <w:t>元</w:t>
            </w:r>
          </w:p>
        </w:tc>
      </w:tr>
      <w:tr w14:paraId="5F3814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53" w:hRule="atLeast"/>
          <w:jc w:val="center"/>
        </w:trPr>
        <w:tc>
          <w:tcPr>
            <w:tcW w:w="1514" w:type="dxa"/>
            <w:noWrap w:val="0"/>
            <w:vAlign w:val="center"/>
          </w:tcPr>
          <w:p w14:paraId="0471FFA5">
            <w:pPr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单价下浮率</w:t>
            </w:r>
          </w:p>
        </w:tc>
        <w:tc>
          <w:tcPr>
            <w:tcW w:w="7266" w:type="dxa"/>
            <w:noWrap w:val="0"/>
            <w:vAlign w:val="center"/>
          </w:tcPr>
          <w:p w14:paraId="58E00A97">
            <w:pPr>
              <w:spacing w:line="360" w:lineRule="exac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highlight w:val="none"/>
              </w:rPr>
              <w:t>参照韩城市人民政府官网-重要商品价格监测，韩城市发展和改革委员会发布的韩城市 18 种重要商品零售价格周监测报表的平均价格下浮</w:t>
            </w: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highlight w:val="none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highlight w:val="none"/>
              </w:rPr>
              <w:t>%</w:t>
            </w:r>
          </w:p>
        </w:tc>
      </w:tr>
      <w:tr w14:paraId="2205E6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97" w:hRule="atLeast"/>
          <w:jc w:val="center"/>
        </w:trPr>
        <w:tc>
          <w:tcPr>
            <w:tcW w:w="1514" w:type="dxa"/>
            <w:noWrap w:val="0"/>
            <w:vAlign w:val="center"/>
          </w:tcPr>
          <w:p w14:paraId="6872FEE7"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</w:rPr>
              <w:t>备注</w:t>
            </w:r>
          </w:p>
        </w:tc>
        <w:tc>
          <w:tcPr>
            <w:tcW w:w="7266" w:type="dxa"/>
            <w:noWrap w:val="0"/>
            <w:vAlign w:val="center"/>
          </w:tcPr>
          <w:p w14:paraId="23FBECD0">
            <w:pPr>
              <w:jc w:val="left"/>
              <w:rPr>
                <w:rFonts w:hint="default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投标总报价为按“单价下浮率”下浮后计算的总价格</w:t>
            </w:r>
            <w:bookmarkStart w:id="0" w:name="_GoBack"/>
            <w:bookmarkEnd w:id="0"/>
          </w:p>
        </w:tc>
      </w:tr>
    </w:tbl>
    <w:p w14:paraId="6982A3C1">
      <w:pPr>
        <w:adjustRightInd w:val="0"/>
        <w:snapToGrid w:val="0"/>
        <w:spacing w:line="360" w:lineRule="auto"/>
        <w:rPr>
          <w:rFonts w:hint="eastAsia" w:ascii="宋体" w:hAnsi="宋体" w:cs="宋体"/>
          <w:color w:val="auto"/>
          <w:sz w:val="21"/>
          <w:szCs w:val="21"/>
          <w:highlight w:val="none"/>
        </w:rPr>
      </w:pPr>
    </w:p>
    <w:p w14:paraId="379C89AD">
      <w:pPr>
        <w:adjustRightInd w:val="0"/>
        <w:snapToGrid w:val="0"/>
        <w:spacing w:line="360" w:lineRule="auto"/>
        <w:rPr>
          <w:rFonts w:hint="eastAsia" w:ascii="宋体" w:hAnsi="宋体" w:cs="宋体"/>
          <w:color w:val="auto"/>
          <w:sz w:val="21"/>
          <w:szCs w:val="21"/>
          <w:highlight w:val="none"/>
        </w:rPr>
      </w:pPr>
    </w:p>
    <w:p w14:paraId="20346BA2">
      <w:pPr>
        <w:adjustRightInd w:val="0"/>
        <w:snapToGrid w:val="0"/>
        <w:spacing w:line="360" w:lineRule="auto"/>
        <w:rPr>
          <w:rFonts w:hint="eastAsia" w:ascii="宋体" w:hAnsi="宋体" w:cs="宋体"/>
          <w:color w:val="auto"/>
          <w:sz w:val="21"/>
          <w:szCs w:val="21"/>
          <w:highlight w:val="none"/>
        </w:rPr>
      </w:pPr>
    </w:p>
    <w:p w14:paraId="5988B54F">
      <w:pPr>
        <w:adjustRightInd w:val="0"/>
        <w:snapToGrid w:val="0"/>
        <w:spacing w:line="360" w:lineRule="auto"/>
        <w:rPr>
          <w:rFonts w:hint="eastAsia" w:ascii="宋体" w:hAnsi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cs="宋体"/>
          <w:color w:val="auto"/>
          <w:sz w:val="21"/>
          <w:szCs w:val="21"/>
          <w:highlight w:val="none"/>
        </w:rPr>
        <w:t xml:space="preserve">        </w:t>
      </w:r>
    </w:p>
    <w:p w14:paraId="75A268FF">
      <w:pPr>
        <w:adjustRightInd w:val="0"/>
        <w:snapToGrid w:val="0"/>
        <w:spacing w:line="360" w:lineRule="auto"/>
        <w:ind w:firstLine="4638" w:firstLineChars="2200"/>
        <w:rPr>
          <w:rFonts w:hint="eastAsia" w:ascii="宋体" w:hAnsi="宋体" w:eastAsia="宋体" w:cs="宋体"/>
          <w:b/>
          <w:bCs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b/>
          <w:bCs/>
          <w:color w:val="auto"/>
          <w:szCs w:val="21"/>
          <w:highlight w:val="none"/>
        </w:rPr>
        <w:t>（</w:t>
      </w:r>
      <w:r>
        <w:rPr>
          <w:rFonts w:hint="eastAsia" w:ascii="宋体" w:hAnsi="宋体" w:eastAsia="宋体" w:cs="宋体"/>
          <w:b/>
          <w:bCs/>
          <w:color w:val="auto"/>
          <w:szCs w:val="21"/>
          <w:highlight w:val="none"/>
          <w:lang w:val="en-US" w:eastAsia="zh-CN"/>
        </w:rPr>
        <w:t>公</w:t>
      </w:r>
      <w:r>
        <w:rPr>
          <w:rFonts w:hint="eastAsia" w:ascii="宋体" w:hAnsi="宋体" w:eastAsia="宋体" w:cs="宋体"/>
          <w:b/>
          <w:bCs/>
          <w:color w:val="auto"/>
          <w:szCs w:val="21"/>
          <w:highlight w:val="none"/>
        </w:rPr>
        <w:t>章）：</w:t>
      </w:r>
    </w:p>
    <w:p w14:paraId="0A7698A9">
      <w:pPr>
        <w:adjustRightInd w:val="0"/>
        <w:snapToGrid w:val="0"/>
        <w:spacing w:line="360" w:lineRule="auto"/>
        <w:ind w:firstLine="2214" w:firstLineChars="1050"/>
        <w:jc w:val="center"/>
        <w:rPr>
          <w:rFonts w:hint="eastAsia" w:ascii="宋体" w:hAnsi="宋体" w:eastAsia="宋体" w:cs="宋体"/>
          <w:b/>
          <w:bCs/>
          <w:color w:val="auto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Cs w:val="21"/>
          <w:highlight w:val="none"/>
          <w:lang w:val="en-US" w:eastAsia="zh-CN"/>
        </w:rPr>
        <w:t xml:space="preserve">           </w:t>
      </w:r>
    </w:p>
    <w:p w14:paraId="0F9C9D54">
      <w:pPr>
        <w:adjustRightInd w:val="0"/>
        <w:snapToGrid w:val="0"/>
        <w:spacing w:line="360" w:lineRule="auto"/>
        <w:ind w:firstLine="4638" w:firstLineChars="2200"/>
        <w:jc w:val="both"/>
        <w:rPr>
          <w:rFonts w:hint="eastAsia" w:ascii="宋体" w:hAnsi="宋体" w:eastAsia="宋体" w:cs="宋体"/>
          <w:b/>
          <w:bCs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Cs w:val="21"/>
          <w:highlight w:val="none"/>
        </w:rPr>
        <w:t>日        期：   年  月   日</w:t>
      </w:r>
    </w:p>
    <w:p w14:paraId="521A07D2">
      <w:pPr>
        <w:numPr>
          <w:ilvl w:val="0"/>
          <w:numId w:val="0"/>
        </w:numPr>
        <w:spacing w:after="195" w:afterLines="50" w:line="360" w:lineRule="auto"/>
        <w:jc w:val="center"/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</w:rPr>
      </w:pPr>
    </w:p>
    <w:p w14:paraId="6EB6E04A">
      <w:pPr>
        <w:numPr>
          <w:ilvl w:val="0"/>
          <w:numId w:val="0"/>
        </w:numPr>
        <w:spacing w:after="195" w:afterLines="50" w:line="360" w:lineRule="auto"/>
        <w:jc w:val="center"/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</w:rPr>
      </w:pPr>
    </w:p>
    <w:p w14:paraId="2AC17B7A">
      <w:pPr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</w:rPr>
      </w:pPr>
    </w:p>
    <w:p w14:paraId="7FA14070">
      <w:pPr>
        <w:pStyle w:val="3"/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</w:rPr>
      </w:pPr>
    </w:p>
    <w:p w14:paraId="40109B40">
      <w:pPr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</w:rPr>
      </w:pPr>
    </w:p>
    <w:p w14:paraId="3D94CB0E">
      <w:pPr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</w:rPr>
      </w:pPr>
    </w:p>
    <w:p w14:paraId="77133155">
      <w:pPr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</w:rPr>
      </w:pPr>
    </w:p>
    <w:p w14:paraId="7B045E54">
      <w:pPr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</w:rPr>
      </w:pPr>
    </w:p>
    <w:p w14:paraId="5613A02B">
      <w:pPr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</w:rPr>
      </w:pPr>
    </w:p>
    <w:p w14:paraId="2717D693">
      <w:pPr>
        <w:numPr>
          <w:ilvl w:val="0"/>
          <w:numId w:val="0"/>
        </w:numPr>
        <w:overflowPunct w:val="0"/>
        <w:topLinePunct/>
        <w:spacing w:line="440" w:lineRule="exact"/>
        <w:jc w:val="center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  <w:t>分项报价表</w:t>
      </w:r>
    </w:p>
    <w:p w14:paraId="67F91C33">
      <w:pPr>
        <w:numPr>
          <w:ilvl w:val="0"/>
          <w:numId w:val="0"/>
        </w:numPr>
        <w:overflowPunct w:val="0"/>
        <w:topLinePunct/>
        <w:spacing w:line="440" w:lineRule="exact"/>
        <w:jc w:val="center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</w:pPr>
    </w:p>
    <w:tbl>
      <w:tblPr>
        <w:tblStyle w:val="6"/>
        <w:tblW w:w="4997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7"/>
        <w:gridCol w:w="1111"/>
        <w:gridCol w:w="823"/>
        <w:gridCol w:w="765"/>
        <w:gridCol w:w="1266"/>
        <w:gridCol w:w="870"/>
        <w:gridCol w:w="777"/>
        <w:gridCol w:w="777"/>
        <w:gridCol w:w="770"/>
        <w:gridCol w:w="821"/>
      </w:tblGrid>
      <w:tr w14:paraId="53C0D3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58" w:hRule="atLeast"/>
          <w:jc w:val="center"/>
        </w:trPr>
        <w:tc>
          <w:tcPr>
            <w:tcW w:w="316" w:type="pct"/>
            <w:noWrap w:val="0"/>
            <w:vAlign w:val="center"/>
          </w:tcPr>
          <w:p w14:paraId="44637820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序号</w:t>
            </w:r>
          </w:p>
        </w:tc>
        <w:tc>
          <w:tcPr>
            <w:tcW w:w="652" w:type="pct"/>
            <w:noWrap w:val="0"/>
            <w:vAlign w:val="center"/>
          </w:tcPr>
          <w:p w14:paraId="4288DE53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产品名称</w:t>
            </w:r>
          </w:p>
        </w:tc>
        <w:tc>
          <w:tcPr>
            <w:tcW w:w="483" w:type="pct"/>
            <w:noWrap w:val="0"/>
            <w:vAlign w:val="center"/>
          </w:tcPr>
          <w:p w14:paraId="75285C29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品牌</w:t>
            </w:r>
          </w:p>
        </w:tc>
        <w:tc>
          <w:tcPr>
            <w:tcW w:w="449" w:type="pct"/>
            <w:noWrap w:val="0"/>
            <w:vAlign w:val="center"/>
          </w:tcPr>
          <w:p w14:paraId="41F67AD5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规格型号</w:t>
            </w:r>
          </w:p>
        </w:tc>
        <w:tc>
          <w:tcPr>
            <w:tcW w:w="743" w:type="pct"/>
            <w:noWrap w:val="0"/>
            <w:vAlign w:val="center"/>
          </w:tcPr>
          <w:p w14:paraId="4B2C1F58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生产厂家</w:t>
            </w:r>
          </w:p>
        </w:tc>
        <w:tc>
          <w:tcPr>
            <w:tcW w:w="511" w:type="pct"/>
            <w:noWrap w:val="0"/>
            <w:vAlign w:val="center"/>
          </w:tcPr>
          <w:p w14:paraId="1F6F3AA2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单位</w:t>
            </w:r>
          </w:p>
        </w:tc>
        <w:tc>
          <w:tcPr>
            <w:tcW w:w="456" w:type="pct"/>
            <w:noWrap w:val="0"/>
            <w:vAlign w:val="center"/>
          </w:tcPr>
          <w:p w14:paraId="4805DF22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数量</w:t>
            </w:r>
          </w:p>
        </w:tc>
        <w:tc>
          <w:tcPr>
            <w:tcW w:w="456" w:type="pct"/>
            <w:noWrap w:val="0"/>
            <w:vAlign w:val="center"/>
          </w:tcPr>
          <w:p w14:paraId="016DE81A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单价(元)</w:t>
            </w:r>
          </w:p>
        </w:tc>
        <w:tc>
          <w:tcPr>
            <w:tcW w:w="452" w:type="pct"/>
            <w:noWrap w:val="0"/>
            <w:vAlign w:val="center"/>
          </w:tcPr>
          <w:p w14:paraId="51A0CDCC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总价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(元)</w:t>
            </w:r>
          </w:p>
        </w:tc>
        <w:tc>
          <w:tcPr>
            <w:tcW w:w="480" w:type="pct"/>
            <w:noWrap w:val="0"/>
            <w:vAlign w:val="center"/>
          </w:tcPr>
          <w:p w14:paraId="265BE3A2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备注</w:t>
            </w:r>
          </w:p>
        </w:tc>
      </w:tr>
      <w:tr w14:paraId="09BDFA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316" w:type="pct"/>
            <w:noWrap w:val="0"/>
            <w:vAlign w:val="center"/>
          </w:tcPr>
          <w:p w14:paraId="28579988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652" w:type="pct"/>
            <w:noWrap w:val="0"/>
            <w:vAlign w:val="center"/>
          </w:tcPr>
          <w:p w14:paraId="03F496DD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483" w:type="pct"/>
            <w:noWrap w:val="0"/>
            <w:vAlign w:val="center"/>
          </w:tcPr>
          <w:p w14:paraId="59DE3911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449" w:type="pct"/>
            <w:noWrap w:val="0"/>
            <w:vAlign w:val="center"/>
          </w:tcPr>
          <w:p w14:paraId="20BFB0D5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743" w:type="pct"/>
            <w:noWrap w:val="0"/>
            <w:vAlign w:val="center"/>
          </w:tcPr>
          <w:p w14:paraId="18A08C23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511" w:type="pct"/>
            <w:noWrap w:val="0"/>
            <w:vAlign w:val="center"/>
          </w:tcPr>
          <w:p w14:paraId="0531F5C7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456" w:type="pct"/>
            <w:noWrap w:val="0"/>
            <w:vAlign w:val="center"/>
          </w:tcPr>
          <w:p w14:paraId="734CE8D8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456" w:type="pct"/>
            <w:noWrap w:val="0"/>
            <w:vAlign w:val="center"/>
          </w:tcPr>
          <w:p w14:paraId="74D884D5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452" w:type="pct"/>
            <w:noWrap w:val="0"/>
            <w:vAlign w:val="center"/>
          </w:tcPr>
          <w:p w14:paraId="575B54D6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480" w:type="pct"/>
            <w:noWrap w:val="0"/>
            <w:vAlign w:val="center"/>
          </w:tcPr>
          <w:p w14:paraId="7E190101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78D54C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316" w:type="pct"/>
            <w:noWrap w:val="0"/>
            <w:vAlign w:val="center"/>
          </w:tcPr>
          <w:p w14:paraId="7031604C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652" w:type="pct"/>
            <w:noWrap w:val="0"/>
            <w:vAlign w:val="center"/>
          </w:tcPr>
          <w:p w14:paraId="5649FB6B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483" w:type="pct"/>
            <w:noWrap w:val="0"/>
            <w:vAlign w:val="center"/>
          </w:tcPr>
          <w:p w14:paraId="127201E7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449" w:type="pct"/>
            <w:noWrap w:val="0"/>
            <w:vAlign w:val="center"/>
          </w:tcPr>
          <w:p w14:paraId="07CF0F05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743" w:type="pct"/>
            <w:noWrap w:val="0"/>
            <w:vAlign w:val="center"/>
          </w:tcPr>
          <w:p w14:paraId="365FBB44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511" w:type="pct"/>
            <w:noWrap w:val="0"/>
            <w:vAlign w:val="center"/>
          </w:tcPr>
          <w:p w14:paraId="1F4995F7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456" w:type="pct"/>
            <w:noWrap w:val="0"/>
            <w:vAlign w:val="center"/>
          </w:tcPr>
          <w:p w14:paraId="6235A467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456" w:type="pct"/>
            <w:noWrap w:val="0"/>
            <w:vAlign w:val="center"/>
          </w:tcPr>
          <w:p w14:paraId="4945199E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452" w:type="pct"/>
            <w:noWrap w:val="0"/>
            <w:vAlign w:val="center"/>
          </w:tcPr>
          <w:p w14:paraId="2BBD9A6D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480" w:type="pct"/>
            <w:noWrap w:val="0"/>
            <w:vAlign w:val="center"/>
          </w:tcPr>
          <w:p w14:paraId="07EFC14A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4B298F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316" w:type="pct"/>
            <w:noWrap w:val="0"/>
            <w:vAlign w:val="center"/>
          </w:tcPr>
          <w:p w14:paraId="4585B04E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652" w:type="pct"/>
            <w:noWrap w:val="0"/>
            <w:vAlign w:val="center"/>
          </w:tcPr>
          <w:p w14:paraId="5CFCBD87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483" w:type="pct"/>
            <w:noWrap w:val="0"/>
            <w:vAlign w:val="center"/>
          </w:tcPr>
          <w:p w14:paraId="28752DD0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449" w:type="pct"/>
            <w:noWrap w:val="0"/>
            <w:vAlign w:val="center"/>
          </w:tcPr>
          <w:p w14:paraId="32E8488B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743" w:type="pct"/>
            <w:noWrap w:val="0"/>
            <w:vAlign w:val="center"/>
          </w:tcPr>
          <w:p w14:paraId="0295D8AF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511" w:type="pct"/>
            <w:noWrap w:val="0"/>
            <w:vAlign w:val="center"/>
          </w:tcPr>
          <w:p w14:paraId="12495CC9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456" w:type="pct"/>
            <w:noWrap w:val="0"/>
            <w:vAlign w:val="center"/>
          </w:tcPr>
          <w:p w14:paraId="5B411B17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456" w:type="pct"/>
            <w:noWrap w:val="0"/>
            <w:vAlign w:val="center"/>
          </w:tcPr>
          <w:p w14:paraId="3091E4BC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452" w:type="pct"/>
            <w:noWrap w:val="0"/>
            <w:vAlign w:val="center"/>
          </w:tcPr>
          <w:p w14:paraId="0CC03F20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480" w:type="pct"/>
            <w:noWrap w:val="0"/>
            <w:vAlign w:val="center"/>
          </w:tcPr>
          <w:p w14:paraId="621A1286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71238B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6" w:hRule="atLeast"/>
          <w:jc w:val="center"/>
        </w:trPr>
        <w:tc>
          <w:tcPr>
            <w:tcW w:w="5000" w:type="pct"/>
            <w:gridSpan w:val="10"/>
            <w:noWrap w:val="0"/>
            <w:vAlign w:val="center"/>
          </w:tcPr>
          <w:p w14:paraId="6C600C21">
            <w:pPr>
              <w:pStyle w:val="4"/>
              <w:rPr>
                <w:rFonts w:hint="eastAsia" w:ascii="宋体" w:hAnsi="宋体" w:eastAsia="宋体" w:cs="宋体"/>
                <w:spacing w:val="-6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  <w:highlight w:val="none"/>
                <w:lang w:val="en-US" w:eastAsia="zh-CN"/>
              </w:rPr>
              <w:t>合计</w:t>
            </w: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  <w:highlight w:val="none"/>
              </w:rPr>
              <w:t>总报价</w:t>
            </w:r>
            <w:r>
              <w:rPr>
                <w:rFonts w:hint="eastAsia" w:hAnsi="宋体" w:cs="宋体"/>
                <w:spacing w:val="-6"/>
                <w:sz w:val="21"/>
                <w:szCs w:val="21"/>
                <w:highlight w:val="none"/>
                <w:lang w:eastAsia="zh-CN"/>
              </w:rPr>
              <w:t>（</w:t>
            </w:r>
            <w:r>
              <w:rPr>
                <w:rFonts w:hint="eastAsia" w:hAnsi="宋体" w:cs="宋体"/>
                <w:spacing w:val="-6"/>
                <w:sz w:val="21"/>
                <w:szCs w:val="21"/>
                <w:highlight w:val="none"/>
                <w:lang w:val="en-US" w:eastAsia="zh-CN"/>
              </w:rPr>
              <w:t>元</w:t>
            </w:r>
            <w:r>
              <w:rPr>
                <w:rFonts w:hint="eastAsia" w:hAnsi="宋体" w:cs="宋体"/>
                <w:spacing w:val="-6"/>
                <w:sz w:val="21"/>
                <w:szCs w:val="21"/>
                <w:highlight w:val="none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  <w:highlight w:val="none"/>
              </w:rPr>
              <w:t xml:space="preserve">：                              </w:t>
            </w:r>
          </w:p>
        </w:tc>
      </w:tr>
    </w:tbl>
    <w:p w14:paraId="7E181CA0">
      <w:pPr>
        <w:pStyle w:val="2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  <w:lang w:eastAsia="zh-CN"/>
        </w:rPr>
      </w:pPr>
    </w:p>
    <w:p w14:paraId="14A76BA1">
      <w:pPr>
        <w:overflowPunct w:val="0"/>
        <w:topLinePunct/>
        <w:spacing w:line="440" w:lineRule="exact"/>
        <w:jc w:val="left"/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iCs/>
          <w:sz w:val="21"/>
          <w:szCs w:val="21"/>
          <w:highlight w:val="none"/>
        </w:rPr>
        <w:t>注：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以上报价</w:t>
      </w:r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  <w:lang w:val="en-US" w:eastAsia="zh-CN"/>
        </w:rPr>
        <w:t>按“单价下浮率”下浮后计算，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是供应商正确、全面完成全部工作内容的全部报酬，供应商自行考虑项目完成过程中可能会发生的一切费用。供应商不得要求采购人在报价之外支付其它任何费用，否则费用由供应商自行承担。</w:t>
      </w: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表格不够可自行添加。</w:t>
      </w:r>
    </w:p>
    <w:p w14:paraId="14D9E7AF">
      <w:pPr>
        <w:overflowPunct w:val="0"/>
        <w:topLinePunct/>
        <w:spacing w:line="440" w:lineRule="exact"/>
        <w:jc w:val="center"/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</w:pPr>
    </w:p>
    <w:p w14:paraId="266885D5">
      <w:pPr>
        <w:adjustRightInd w:val="0"/>
        <w:snapToGrid w:val="0"/>
        <w:spacing w:line="360" w:lineRule="auto"/>
        <w:ind w:firstLine="4638" w:firstLineChars="2200"/>
        <w:rPr>
          <w:rFonts w:hint="eastAsia" w:ascii="宋体" w:hAnsi="宋体" w:eastAsia="宋体" w:cs="宋体"/>
          <w:b/>
          <w:bCs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b/>
          <w:bCs/>
          <w:color w:val="auto"/>
          <w:szCs w:val="21"/>
          <w:highlight w:val="none"/>
        </w:rPr>
        <w:t>（</w:t>
      </w:r>
      <w:r>
        <w:rPr>
          <w:rFonts w:hint="eastAsia" w:ascii="宋体" w:hAnsi="宋体" w:eastAsia="宋体" w:cs="宋体"/>
          <w:b/>
          <w:bCs/>
          <w:color w:val="auto"/>
          <w:szCs w:val="21"/>
          <w:highlight w:val="none"/>
          <w:lang w:val="en-US" w:eastAsia="zh-CN"/>
        </w:rPr>
        <w:t>公</w:t>
      </w:r>
      <w:r>
        <w:rPr>
          <w:rFonts w:hint="eastAsia" w:ascii="宋体" w:hAnsi="宋体" w:eastAsia="宋体" w:cs="宋体"/>
          <w:b/>
          <w:bCs/>
          <w:color w:val="auto"/>
          <w:szCs w:val="21"/>
          <w:highlight w:val="none"/>
        </w:rPr>
        <w:t>章）：</w:t>
      </w:r>
    </w:p>
    <w:p w14:paraId="5DC2C7D3">
      <w:pPr>
        <w:adjustRightInd w:val="0"/>
        <w:snapToGrid w:val="0"/>
        <w:spacing w:line="360" w:lineRule="auto"/>
        <w:ind w:firstLine="2214" w:firstLineChars="1050"/>
        <w:jc w:val="center"/>
        <w:rPr>
          <w:rFonts w:hint="eastAsia" w:ascii="宋体" w:hAnsi="宋体" w:eastAsia="宋体" w:cs="宋体"/>
          <w:b/>
          <w:bCs/>
          <w:color w:val="auto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Cs w:val="21"/>
          <w:highlight w:val="none"/>
          <w:lang w:val="en-US" w:eastAsia="zh-CN"/>
        </w:rPr>
        <w:t xml:space="preserve">            </w:t>
      </w:r>
    </w:p>
    <w:p w14:paraId="6096AEAF">
      <w:pPr>
        <w:adjustRightInd w:val="0"/>
        <w:snapToGrid w:val="0"/>
        <w:spacing w:line="360" w:lineRule="auto"/>
        <w:ind w:firstLine="4638" w:firstLineChars="2200"/>
        <w:jc w:val="both"/>
        <w:rPr>
          <w:rFonts w:hint="eastAsia" w:ascii="宋体" w:hAnsi="宋体" w:eastAsia="宋体" w:cs="宋体"/>
          <w:b/>
          <w:bCs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Cs w:val="21"/>
          <w:highlight w:val="none"/>
        </w:rPr>
        <w:t>日        期：   年  月   日</w:t>
      </w:r>
    </w:p>
    <w:p w14:paraId="231867E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9E81D9F"/>
    <w:rsid w:val="5E2D6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nhideWhenUsed="0" w:uiPriority="99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keepNext/>
      <w:keepLines/>
      <w:spacing w:before="280" w:after="29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next w:val="1"/>
    <w:qFormat/>
    <w:uiPriority w:val="0"/>
    <w:pPr>
      <w:ind w:firstLine="420"/>
    </w:pPr>
  </w:style>
  <w:style w:type="paragraph" w:styleId="4">
    <w:name w:val="Plain Text"/>
    <w:basedOn w:val="1"/>
    <w:qFormat/>
    <w:uiPriority w:val="0"/>
    <w:rPr>
      <w:rFonts w:ascii="宋体" w:hAnsi="Courier New"/>
    </w:rPr>
  </w:style>
  <w:style w:type="paragraph" w:styleId="5">
    <w:name w:val="toc 4"/>
    <w:basedOn w:val="1"/>
    <w:next w:val="1"/>
    <w:semiHidden/>
    <w:qFormat/>
    <w:uiPriority w:val="99"/>
    <w:pPr>
      <w:widowControl w:val="0"/>
      <w:adjustRightInd/>
      <w:snapToGrid/>
      <w:spacing w:after="0"/>
      <w:ind w:left="1260" w:leftChars="600"/>
      <w:jc w:val="both"/>
    </w:pPr>
    <w:rPr>
      <w:rFonts w:ascii="Calibri" w:hAnsi="Calibri" w:cs="Calibri"/>
      <w:kern w:val="2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2025-07-23T06:48:26Z</dcterms:created>
  <dc:creator>X</dc:creator>
  <cp:lastModifiedBy>Mr.Xu</cp:lastModifiedBy>
  <dcterms:modified xsi:type="dcterms:W3CDTF">2025-07-23T06:52:47Z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eyJoZGlkIjoiOTM5ZmYxYTg5NTUzNTM4ODE2ZTk5YzIxMDAxOTc0NDQiLCJ1c2VySWQiOiIzMzg0NTQ0NTYifQ==</vt:lpwstr>
  </property>
  <property fmtid="{D5CDD505-2E9C-101B-9397-08002B2CF9AE}" pid="4" name="ICV">
    <vt:lpwstr>CEB6E0C39CDB4A93A8B3ADCCDA8E5E24_12</vt:lpwstr>
  </property>
</Properties>
</file>