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5CBAB">
      <w:pPr>
        <w:pStyle w:val="3"/>
        <w:spacing w:line="240" w:lineRule="auto"/>
        <w:rPr>
          <w:rFonts w:hint="eastAsia"/>
          <w:highlight w:val="none"/>
          <w:lang w:eastAsia="zh-CN"/>
        </w:rPr>
      </w:pPr>
      <w:r>
        <w:rPr>
          <w:rFonts w:hint="eastAsia"/>
          <w:highlight w:val="none"/>
          <w:lang w:eastAsia="zh-CN"/>
        </w:rPr>
        <w:t>合同基本条款</w:t>
      </w:r>
    </w:p>
    <w:p w14:paraId="0B65724B">
      <w:pPr>
        <w:spacing w:line="360" w:lineRule="auto"/>
        <w:rPr>
          <w:rFonts w:hint="eastAsia" w:ascii="Times New Roman" w:hAnsi="Times New Roman" w:eastAsia="方正仿宋简体"/>
          <w:color w:val="000000"/>
          <w:sz w:val="32"/>
          <w:szCs w:val="32"/>
          <w:highlight w:val="none"/>
        </w:rPr>
      </w:pPr>
      <w:r>
        <w:rPr>
          <w:rFonts w:hint="eastAsia" w:ascii="宋体" w:hAnsi="宋体" w:cs="宋体"/>
          <w:b/>
          <w:bCs/>
          <w:sz w:val="21"/>
          <w:szCs w:val="21"/>
          <w:highlight w:val="none"/>
        </w:rPr>
        <w:t>（说明 ：此格式为合同基本格式，双方可在此基础上进行补充、修改、细化、增减等）。</w:t>
      </w:r>
    </w:p>
    <w:p w14:paraId="219D46C7">
      <w:pPr>
        <w:spacing w:line="360" w:lineRule="auto"/>
        <w:ind w:firstLine="420" w:firstLineChars="200"/>
        <w:rPr>
          <w:rFonts w:hint="eastAsia" w:ascii="宋体" w:hAnsi="宋体" w:cs="宋体"/>
          <w:bCs/>
          <w:sz w:val="21"/>
          <w:szCs w:val="21"/>
          <w:highlight w:val="none"/>
          <w:lang w:bidi="ar"/>
        </w:rPr>
      </w:pPr>
      <w:r>
        <w:rPr>
          <w:rFonts w:hint="eastAsia" w:ascii="宋体" w:hAnsi="宋体" w:cs="宋体"/>
          <w:bCs/>
          <w:sz w:val="21"/>
          <w:szCs w:val="21"/>
          <w:highlight w:val="none"/>
          <w:lang w:bidi="ar"/>
        </w:rPr>
        <w:t xml:space="preserve">甲方（采购人）：               </w:t>
      </w:r>
    </w:p>
    <w:p w14:paraId="476F6147">
      <w:pPr>
        <w:spacing w:line="360" w:lineRule="auto"/>
        <w:ind w:firstLine="420" w:firstLineChars="200"/>
        <w:rPr>
          <w:rFonts w:hint="eastAsia" w:ascii="宋体" w:hAnsi="宋体" w:cs="宋体"/>
          <w:bCs/>
          <w:sz w:val="21"/>
          <w:szCs w:val="21"/>
          <w:highlight w:val="none"/>
          <w:lang w:bidi="ar"/>
        </w:rPr>
      </w:pPr>
      <w:r>
        <w:rPr>
          <w:rFonts w:hint="eastAsia" w:ascii="宋体" w:hAnsi="宋体" w:cs="宋体"/>
          <w:bCs/>
          <w:sz w:val="21"/>
          <w:szCs w:val="21"/>
          <w:highlight w:val="none"/>
          <w:lang w:bidi="ar"/>
        </w:rPr>
        <w:t xml:space="preserve">乙方（供应商）：                </w:t>
      </w:r>
    </w:p>
    <w:p w14:paraId="4ECCBF0B">
      <w:pPr>
        <w:spacing w:line="360" w:lineRule="auto"/>
        <w:ind w:firstLine="420" w:firstLineChars="200"/>
        <w:rPr>
          <w:rFonts w:hint="eastAsia" w:ascii="宋体" w:hAnsi="宋体" w:cs="宋体"/>
          <w:bCs/>
          <w:sz w:val="21"/>
          <w:szCs w:val="21"/>
          <w:highlight w:val="none"/>
          <w:lang w:bidi="ar"/>
        </w:rPr>
      </w:pPr>
      <w:r>
        <w:rPr>
          <w:rFonts w:hint="eastAsia" w:ascii="宋体" w:hAnsi="宋体" w:cs="宋体"/>
          <w:bCs/>
          <w:sz w:val="21"/>
          <w:szCs w:val="21"/>
          <w:highlight w:val="none"/>
          <w:lang w:bidi="ar"/>
        </w:rPr>
        <w:t>甲乙双方根据</w:t>
      </w:r>
      <w:r>
        <w:rPr>
          <w:rFonts w:hint="eastAsia" w:ascii="宋体" w:hAnsi="宋体" w:cs="宋体"/>
          <w:bCs/>
          <w:sz w:val="21"/>
          <w:szCs w:val="21"/>
          <w:highlight w:val="none"/>
          <w:u w:val="single"/>
          <w:lang w:bidi="ar"/>
        </w:rPr>
        <w:t xml:space="preserve">        </w:t>
      </w:r>
      <w:r>
        <w:rPr>
          <w:rFonts w:hint="eastAsia" w:ascii="宋体" w:hAnsi="宋体" w:cs="宋体"/>
          <w:bCs/>
          <w:sz w:val="21"/>
          <w:szCs w:val="21"/>
          <w:highlight w:val="none"/>
          <w:lang w:bidi="ar"/>
        </w:rPr>
        <w:t>政府采购项目（项目编号：</w:t>
      </w:r>
      <w:r>
        <w:rPr>
          <w:rFonts w:hint="eastAsia" w:ascii="宋体" w:hAnsi="宋体" w:cs="宋体"/>
          <w:bCs/>
          <w:sz w:val="21"/>
          <w:szCs w:val="21"/>
          <w:highlight w:val="none"/>
          <w:u w:val="single"/>
          <w:lang w:bidi="ar"/>
        </w:rPr>
        <w:t xml:space="preserve">    </w:t>
      </w:r>
      <w:r>
        <w:rPr>
          <w:rFonts w:hint="eastAsia" w:ascii="宋体" w:hAnsi="宋体" w:cs="宋体"/>
          <w:bCs/>
          <w:sz w:val="21"/>
          <w:szCs w:val="21"/>
          <w:highlight w:val="none"/>
          <w:lang w:bidi="ar"/>
        </w:rPr>
        <w:t>）采购结果及相关</w:t>
      </w:r>
      <w:r>
        <w:rPr>
          <w:rFonts w:hint="eastAsia" w:ascii="宋体" w:hAnsi="宋体" w:cs="宋体"/>
          <w:bCs/>
          <w:sz w:val="21"/>
          <w:szCs w:val="21"/>
          <w:highlight w:val="none"/>
          <w:lang w:eastAsia="zh-CN" w:bidi="ar"/>
        </w:rPr>
        <w:t>招标文件</w:t>
      </w:r>
      <w:r>
        <w:rPr>
          <w:rFonts w:hint="eastAsia" w:ascii="宋体" w:hAnsi="宋体" w:cs="宋体"/>
          <w:bCs/>
          <w:sz w:val="21"/>
          <w:szCs w:val="21"/>
          <w:highlight w:val="none"/>
          <w:lang w:bidi="ar"/>
        </w:rPr>
        <w:t>、</w:t>
      </w:r>
      <w:r>
        <w:rPr>
          <w:rFonts w:hint="eastAsia" w:ascii="宋体" w:hAnsi="宋体" w:cs="宋体"/>
          <w:bCs/>
          <w:sz w:val="21"/>
          <w:szCs w:val="21"/>
          <w:highlight w:val="none"/>
          <w:lang w:eastAsia="zh-CN" w:bidi="ar"/>
        </w:rPr>
        <w:t>投标文件</w:t>
      </w:r>
      <w:r>
        <w:rPr>
          <w:rFonts w:hint="eastAsia" w:ascii="宋体" w:hAnsi="宋体" w:cs="宋体"/>
          <w:bCs/>
          <w:sz w:val="21"/>
          <w:szCs w:val="21"/>
          <w:highlight w:val="none"/>
          <w:lang w:bidi="ar"/>
        </w:rPr>
        <w:t>，经协商一致，订立本合同，供双方共同遵守：</w:t>
      </w:r>
    </w:p>
    <w:p w14:paraId="5D87AEBD">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第一条合同价款</w:t>
      </w:r>
    </w:p>
    <w:p w14:paraId="71DAA991">
      <w:pPr>
        <w:autoSpaceDE w:val="0"/>
        <w:autoSpaceDN w:val="0"/>
        <w:spacing w:line="360" w:lineRule="auto"/>
        <w:ind w:firstLine="420" w:firstLineChars="200"/>
        <w:rPr>
          <w:highlight w:val="none"/>
        </w:rPr>
      </w:pPr>
      <w:r>
        <w:rPr>
          <w:rFonts w:hint="eastAsia" w:ascii="宋体" w:hAnsi="宋体" w:cs="宋体"/>
          <w:bCs/>
          <w:sz w:val="21"/>
          <w:szCs w:val="21"/>
          <w:highlight w:val="none"/>
        </w:rPr>
        <w:t>1、合同总价款为人民币</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（大写）（￥</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w:t>
      </w:r>
    </w:p>
    <w:p w14:paraId="6863989C">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2、合同总价一次包死，不受市场价格变化因素的影响。</w:t>
      </w:r>
    </w:p>
    <w:p w14:paraId="1CA18D35">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第二条项目概况：</w:t>
      </w:r>
    </w:p>
    <w:p w14:paraId="3CD60084">
      <w:pPr>
        <w:autoSpaceDE w:val="0"/>
        <w:autoSpaceDN w:val="0"/>
        <w:spacing w:line="360" w:lineRule="auto"/>
        <w:ind w:firstLine="420" w:firstLineChars="200"/>
        <w:rPr>
          <w:rFonts w:ascii="宋体" w:hAnsi="宋体" w:cs="宋体"/>
          <w:bCs/>
          <w:sz w:val="21"/>
          <w:szCs w:val="21"/>
          <w:highlight w:val="none"/>
        </w:rPr>
      </w:pPr>
      <w:r>
        <w:rPr>
          <w:rFonts w:hint="eastAsia" w:ascii="宋体" w:hAnsi="宋体" w:cs="宋体"/>
          <w:bCs/>
          <w:sz w:val="21"/>
          <w:szCs w:val="21"/>
          <w:highlight w:val="none"/>
        </w:rPr>
        <w:t>1、项目内容：</w:t>
      </w:r>
    </w:p>
    <w:p w14:paraId="37CBD0A4">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 xml:space="preserve">2、项目地点：  </w:t>
      </w:r>
    </w:p>
    <w:p w14:paraId="5DB4640A">
      <w:pPr>
        <w:autoSpaceDE w:val="0"/>
        <w:autoSpaceDN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cs="宋体"/>
          <w:bCs/>
          <w:sz w:val="21"/>
          <w:szCs w:val="21"/>
          <w:highlight w:val="none"/>
        </w:rPr>
        <w:t>3、服务期</w:t>
      </w:r>
      <w:r>
        <w:rPr>
          <w:rFonts w:hint="eastAsia" w:ascii="宋体" w:hAnsi="宋体" w:cs="宋体"/>
          <w:bCs/>
          <w:sz w:val="21"/>
          <w:szCs w:val="21"/>
          <w:highlight w:val="none"/>
          <w:lang w:val="en-US" w:eastAsia="zh-CN"/>
        </w:rPr>
        <w:t>限</w:t>
      </w:r>
      <w:r>
        <w:rPr>
          <w:rFonts w:hint="eastAsia" w:ascii="宋体" w:hAnsi="宋体" w:cs="宋体"/>
          <w:bCs/>
          <w:sz w:val="21"/>
          <w:szCs w:val="21"/>
          <w:highlight w:val="none"/>
        </w:rPr>
        <w:t>：服务周期为3年，服务合同一年一签。服务期内，中标单位年度服务考核合格续签下一年度服务合同；如中标单位连续三个月考核不合格或年度考核不合格，终止服务合同，重新招标</w:t>
      </w:r>
      <w:r>
        <w:rPr>
          <w:rFonts w:hint="eastAsia" w:ascii="宋体" w:hAnsi="宋体" w:cs="宋体"/>
          <w:bCs/>
          <w:sz w:val="21"/>
          <w:szCs w:val="21"/>
          <w:highlight w:val="none"/>
          <w:lang w:eastAsia="zh-CN"/>
        </w:rPr>
        <w:t>。</w:t>
      </w:r>
    </w:p>
    <w:p w14:paraId="7257DA80">
      <w:pPr>
        <w:autoSpaceDE w:val="0"/>
        <w:autoSpaceDN w:val="0"/>
        <w:spacing w:line="360" w:lineRule="auto"/>
        <w:ind w:firstLine="420" w:firstLineChars="200"/>
        <w:rPr>
          <w:highlight w:val="none"/>
        </w:rPr>
      </w:pPr>
      <w:r>
        <w:rPr>
          <w:rFonts w:hint="eastAsia" w:ascii="宋体" w:hAnsi="宋体" w:cs="宋体"/>
          <w:bCs/>
          <w:sz w:val="21"/>
          <w:szCs w:val="21"/>
          <w:highlight w:val="none"/>
        </w:rPr>
        <w:t>4、</w:t>
      </w:r>
      <w:r>
        <w:rPr>
          <w:rFonts w:hint="eastAsia" w:ascii="宋体" w:hAnsi="宋体" w:cs="宋体"/>
          <w:sz w:val="21"/>
          <w:szCs w:val="21"/>
          <w:highlight w:val="none"/>
        </w:rPr>
        <w:t>质量标准：合格。</w:t>
      </w:r>
    </w:p>
    <w:p w14:paraId="29B5989B">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第三条款项结算</w:t>
      </w:r>
    </w:p>
    <w:p w14:paraId="3FB823BB">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 xml:space="preserve">付款条件和付款方式：             </w:t>
      </w:r>
    </w:p>
    <w:p w14:paraId="6AA7AC78">
      <w:pPr>
        <w:autoSpaceDE w:val="0"/>
        <w:autoSpaceDN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cs="宋体"/>
          <w:bCs/>
          <w:sz w:val="21"/>
          <w:szCs w:val="21"/>
          <w:highlight w:val="none"/>
        </w:rPr>
        <w:t>1、服务费用根据中标价格，按月考核拨付。主管部门次月15日前完成上月服务项目考核并申请财政资金，每月服务费用结算周期不超过6个月</w:t>
      </w:r>
      <w:r>
        <w:rPr>
          <w:rFonts w:hint="eastAsia" w:ascii="宋体" w:hAnsi="宋体" w:cs="宋体"/>
          <w:bCs/>
          <w:sz w:val="21"/>
          <w:szCs w:val="21"/>
          <w:highlight w:val="none"/>
          <w:lang w:eastAsia="zh-CN"/>
        </w:rPr>
        <w:t>。</w:t>
      </w:r>
    </w:p>
    <w:p w14:paraId="21DA5370">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2</w:t>
      </w:r>
      <w:r>
        <w:rPr>
          <w:rFonts w:hint="eastAsia" w:ascii="宋体" w:hAnsi="宋体" w:cs="宋体"/>
          <w:bCs/>
          <w:sz w:val="21"/>
          <w:szCs w:val="21"/>
          <w:highlight w:val="none"/>
        </w:rPr>
        <w:t>、支付方式：银行转账。</w:t>
      </w:r>
    </w:p>
    <w:p w14:paraId="7A1756D1">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3</w:t>
      </w:r>
      <w:r>
        <w:rPr>
          <w:rFonts w:hint="eastAsia" w:ascii="宋体" w:hAnsi="宋体" w:cs="宋体"/>
          <w:bCs/>
          <w:sz w:val="21"/>
          <w:szCs w:val="21"/>
          <w:highlight w:val="none"/>
        </w:rPr>
        <w:t>、结算方式：持发票，成交通知书、服务合同，与采购人结算。</w:t>
      </w:r>
    </w:p>
    <w:p w14:paraId="68589F51">
      <w:pPr>
        <w:pStyle w:val="7"/>
        <w:spacing w:line="360" w:lineRule="auto"/>
        <w:ind w:firstLine="422"/>
        <w:rPr>
          <w:rFonts w:hAnsi="宋体"/>
          <w:b/>
          <w:sz w:val="21"/>
          <w:szCs w:val="21"/>
          <w:highlight w:val="none"/>
        </w:rPr>
      </w:pPr>
      <w:r>
        <w:rPr>
          <w:rFonts w:hint="eastAsia" w:hAnsi="宋体"/>
          <w:b/>
          <w:sz w:val="21"/>
          <w:szCs w:val="21"/>
          <w:highlight w:val="none"/>
        </w:rPr>
        <w:t>第四条验收</w:t>
      </w:r>
    </w:p>
    <w:p w14:paraId="0B1053D8">
      <w:pPr>
        <w:autoSpaceDE w:val="0"/>
        <w:autoSpaceDN w:val="0"/>
        <w:spacing w:line="360" w:lineRule="auto"/>
        <w:ind w:firstLine="420" w:firstLineChars="200"/>
        <w:rPr>
          <w:rFonts w:hint="eastAsia" w:ascii="宋体" w:hAnsi="宋体" w:cs="宋体"/>
          <w:bCs/>
          <w:sz w:val="21"/>
          <w:szCs w:val="21"/>
          <w:highlight w:val="none"/>
          <w:lang w:eastAsia="zh-CN"/>
        </w:rPr>
      </w:pPr>
      <w:r>
        <w:rPr>
          <w:rFonts w:hint="eastAsia" w:ascii="宋体" w:hAnsi="宋体" w:cs="宋体"/>
          <w:bCs/>
          <w:sz w:val="21"/>
          <w:szCs w:val="21"/>
          <w:highlight w:val="none"/>
          <w:lang w:eastAsia="zh-CN"/>
        </w:rPr>
        <w:t>（1）服务期满后采购人进行验收，中标单位年度服务考核合格，填写政府采购项目验收单作为对项目的最终认可，续签下一年度服务合同；如中标单位连续三个月考核不合格或年度考核不合格，终止服务合同，重新招标。</w:t>
      </w:r>
    </w:p>
    <w:p w14:paraId="4552E714">
      <w:pPr>
        <w:autoSpaceDE w:val="0"/>
        <w:autoSpaceDN w:val="0"/>
        <w:spacing w:line="360" w:lineRule="auto"/>
        <w:ind w:firstLine="420" w:firstLineChars="200"/>
        <w:rPr>
          <w:rFonts w:hint="eastAsia" w:ascii="宋体" w:hAnsi="宋体" w:cs="宋体"/>
          <w:bCs/>
          <w:sz w:val="21"/>
          <w:szCs w:val="21"/>
          <w:highlight w:val="none"/>
          <w:lang w:eastAsia="zh-CN"/>
        </w:rPr>
      </w:pPr>
      <w:r>
        <w:rPr>
          <w:rFonts w:hint="eastAsia" w:ascii="宋体" w:hAnsi="宋体" w:cs="宋体"/>
          <w:bCs/>
          <w:sz w:val="21"/>
          <w:szCs w:val="21"/>
          <w:highlight w:val="none"/>
          <w:lang w:eastAsia="zh-CN"/>
        </w:rPr>
        <w:t>（2）供应商向采购人提供服务过程中的所有资料,以便采购人日后管理。</w:t>
      </w:r>
    </w:p>
    <w:p w14:paraId="19D271F2">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eastAsia="zh-CN"/>
        </w:rPr>
        <w:t>（3）验收依据：招标文件、投标文件、澄清表（函）；合同及附件文本；合同签订时国家及行业现行的标准和技术规范。</w:t>
      </w:r>
    </w:p>
    <w:p w14:paraId="4B07AF0A">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第五条无产权瑕疵条款</w:t>
      </w:r>
    </w:p>
    <w:p w14:paraId="2ADDC1C5">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1、乙方应保证所提供的服务或其任何一部分均不会侵犯任何第三方的专利权、商标权或著作权。</w:t>
      </w:r>
    </w:p>
    <w:p w14:paraId="0F53C2D9">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2、乙方保证所提供的服务的所有权完全属于乙方且无任何抵押、查封等产权瑕疵。如有产权瑕疵的，视为乙方违约。乙方应负担由此而产生的一切损失。</w:t>
      </w:r>
    </w:p>
    <w:p w14:paraId="237088CB">
      <w:pPr>
        <w:autoSpaceDE w:val="0"/>
        <w:autoSpaceDN w:val="0"/>
        <w:spacing w:line="360" w:lineRule="auto"/>
        <w:ind w:firstLine="422" w:firstLineChars="200"/>
        <w:rPr>
          <w:rFonts w:hint="eastAsia" w:ascii="宋体" w:hAnsi="宋体" w:cs="宋体"/>
          <w:b/>
          <w:bCs/>
          <w:sz w:val="21"/>
          <w:szCs w:val="21"/>
        </w:rPr>
      </w:pPr>
      <w:r>
        <w:rPr>
          <w:rFonts w:hint="eastAsia" w:ascii="宋体" w:hAnsi="宋体" w:cs="宋体"/>
          <w:b/>
          <w:bCs/>
          <w:sz w:val="21"/>
          <w:szCs w:val="21"/>
        </w:rPr>
        <w:t>第六条双方的权利和义务</w:t>
      </w:r>
    </w:p>
    <w:p w14:paraId="1AA1E016">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（一）甲方的权利和义务</w:t>
      </w:r>
    </w:p>
    <w:p w14:paraId="41DAED73">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1、甲方应按本合同的规定,按时支付给乙方服务费用，不得无故拖欠。</w:t>
      </w:r>
    </w:p>
    <w:p w14:paraId="3A78FAE0">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lang w:val="en-US" w:eastAsia="zh-CN"/>
        </w:rPr>
        <w:t>2</w:t>
      </w:r>
      <w:r>
        <w:rPr>
          <w:rFonts w:hint="eastAsia" w:ascii="宋体" w:hAnsi="宋体" w:cs="宋体"/>
          <w:bCs/>
          <w:sz w:val="21"/>
          <w:szCs w:val="21"/>
        </w:rPr>
        <w:t>、甲方有权对乙方制定的相关管理制度进行审定，对乙方的工作进行监督。</w:t>
      </w:r>
    </w:p>
    <w:p w14:paraId="356ACA8D">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lang w:val="en-US" w:eastAsia="zh-CN"/>
        </w:rPr>
        <w:t>3</w:t>
      </w:r>
      <w:r>
        <w:rPr>
          <w:rFonts w:hint="eastAsia" w:ascii="宋体" w:hAnsi="宋体" w:cs="宋体"/>
          <w:bCs/>
          <w:sz w:val="21"/>
          <w:szCs w:val="21"/>
        </w:rPr>
        <w:t>、甲方有权依照合同中的内容，对乙方提供的服务进行检查考核。对乙方服务未达标准或乙方工作中的质量问题,甲方有权提出批评和处罚，有权对乙方不能胜任工作的管理人员随时提出更换要求并以书面形式通知乙方，并责令其限期整改。</w:t>
      </w:r>
    </w:p>
    <w:p w14:paraId="0B58B875">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lang w:val="en-US" w:eastAsia="zh-CN"/>
        </w:rPr>
        <w:t>4</w:t>
      </w:r>
      <w:r>
        <w:rPr>
          <w:rFonts w:hint="eastAsia" w:ascii="宋体" w:hAnsi="宋体" w:cs="宋体"/>
          <w:bCs/>
          <w:sz w:val="21"/>
          <w:szCs w:val="21"/>
        </w:rPr>
        <w:t>、甲方为乙方工作正常开展提供必要协助。</w:t>
      </w:r>
    </w:p>
    <w:p w14:paraId="5DF14B9C">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（二）乙方的权利和义务</w:t>
      </w:r>
    </w:p>
    <w:p w14:paraId="6908FF80">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1、乙方应制定适应的服务工作计划，以及相应的管理制度、应急预案、保障措施、反馈机制等交甲方审核并贯彻执行。</w:t>
      </w:r>
    </w:p>
    <w:p w14:paraId="524EEDFC">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2、各岗位人员按区域或片划分工作责任区，并对应服务管理措施。</w:t>
      </w:r>
    </w:p>
    <w:p w14:paraId="0E4AD459">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3、乙方公司指定人员作为与甲方的联系人，负责与甲方之间的日常沟通工作。</w:t>
      </w:r>
    </w:p>
    <w:p w14:paraId="3B9E9145">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4、乙方应严格按照乙方所承诺的服务程序及标准进行程序化服务，按时保质保量完成甲方</w:t>
      </w:r>
      <w:r>
        <w:rPr>
          <w:rFonts w:hint="eastAsia" w:ascii="宋体" w:hAnsi="宋体" w:cs="宋体"/>
          <w:bCs/>
          <w:sz w:val="21"/>
          <w:szCs w:val="21"/>
          <w:lang w:val="en-US" w:eastAsia="zh-CN"/>
        </w:rPr>
        <w:t>下发</w:t>
      </w:r>
      <w:r>
        <w:rPr>
          <w:rFonts w:hint="eastAsia" w:ascii="宋体" w:hAnsi="宋体" w:cs="宋体"/>
          <w:bCs/>
          <w:sz w:val="21"/>
          <w:szCs w:val="21"/>
        </w:rPr>
        <w:t>的工作任务。</w:t>
      </w:r>
    </w:p>
    <w:p w14:paraId="430EE1E3">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5、乙方自行负责服务工作所需之全部设备</w:t>
      </w:r>
      <w:r>
        <w:rPr>
          <w:rFonts w:hint="eastAsia" w:ascii="宋体" w:hAnsi="宋体" w:cs="宋体"/>
          <w:bCs/>
          <w:sz w:val="21"/>
          <w:szCs w:val="21"/>
          <w:lang w:eastAsia="zh-CN"/>
        </w:rPr>
        <w:t>、</w:t>
      </w:r>
      <w:r>
        <w:rPr>
          <w:rFonts w:hint="eastAsia" w:ascii="宋体" w:hAnsi="宋体" w:cs="宋体"/>
          <w:bCs/>
          <w:sz w:val="21"/>
          <w:szCs w:val="21"/>
        </w:rPr>
        <w:t>工服、工具和清洁、消毒材料</w:t>
      </w:r>
      <w:r>
        <w:rPr>
          <w:rFonts w:hint="eastAsia" w:ascii="宋体" w:hAnsi="宋体" w:cs="宋体"/>
          <w:bCs/>
          <w:sz w:val="21"/>
          <w:szCs w:val="21"/>
          <w:lang w:val="en-US" w:eastAsia="zh-CN"/>
        </w:rPr>
        <w:t>等</w:t>
      </w:r>
      <w:r>
        <w:rPr>
          <w:rFonts w:hint="eastAsia" w:ascii="宋体" w:hAnsi="宋体" w:cs="宋体"/>
          <w:bCs/>
          <w:sz w:val="21"/>
          <w:szCs w:val="21"/>
        </w:rPr>
        <w:t>，按合同规定的工作范围和工作要求，高质量完成各项工作，并严格遵守有关安全作业规定，承担生产、作业中因乙方原因造成的全部安全责任。</w:t>
      </w:r>
    </w:p>
    <w:p w14:paraId="08D725B1">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6、乙方必须遵守甲方的各项规章制度。如有违反，按合同约定及甲方管理制度予以处理。</w:t>
      </w:r>
    </w:p>
    <w:p w14:paraId="6455DA97">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7、乙方工作员工统一着装、佩戴工牌，做到整洁、得体、端庄、仪容大方。</w:t>
      </w:r>
    </w:p>
    <w:p w14:paraId="0524EEEB">
      <w:pPr>
        <w:autoSpaceDE w:val="0"/>
        <w:autoSpaceDN w:val="0"/>
        <w:spacing w:line="360" w:lineRule="auto"/>
        <w:ind w:firstLine="422" w:firstLineChars="200"/>
        <w:rPr>
          <w:rFonts w:hint="eastAsia" w:ascii="宋体" w:hAnsi="宋体" w:cs="宋体"/>
          <w:b/>
          <w:bCs/>
          <w:sz w:val="21"/>
          <w:szCs w:val="21"/>
        </w:rPr>
      </w:pPr>
      <w:r>
        <w:rPr>
          <w:rFonts w:hint="eastAsia" w:ascii="宋体" w:hAnsi="宋体" w:cs="宋体"/>
          <w:b/>
          <w:bCs/>
          <w:sz w:val="21"/>
          <w:szCs w:val="21"/>
        </w:rPr>
        <w:t>第七条违约责任</w:t>
      </w:r>
    </w:p>
    <w:p w14:paraId="46BA86B0">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1、甲乙双方必须遵守本合同并执行合同中的各项规定，保证本合同的正常履行。</w:t>
      </w:r>
    </w:p>
    <w:p w14:paraId="09B146D0">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BBD99A5">
      <w:pPr>
        <w:autoSpaceDE w:val="0"/>
        <w:autoSpaceDN w:val="0"/>
        <w:spacing w:line="360" w:lineRule="auto"/>
        <w:ind w:firstLine="422" w:firstLineChars="200"/>
        <w:rPr>
          <w:rFonts w:hint="eastAsia" w:ascii="宋体" w:hAnsi="宋体" w:cs="宋体"/>
          <w:b/>
          <w:bCs/>
          <w:sz w:val="21"/>
          <w:szCs w:val="21"/>
        </w:rPr>
      </w:pPr>
      <w:r>
        <w:rPr>
          <w:rFonts w:hint="eastAsia" w:ascii="宋体" w:hAnsi="宋体" w:cs="宋体"/>
          <w:b/>
          <w:bCs/>
          <w:sz w:val="21"/>
          <w:szCs w:val="21"/>
        </w:rPr>
        <w:t>第八条保密条款</w:t>
      </w:r>
    </w:p>
    <w:p w14:paraId="3C454441">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1、乙方应遵守国家有关保密的法律法规和行业规定，并对甲方提供的资料负有保密义务。</w:t>
      </w:r>
    </w:p>
    <w:p w14:paraId="270ACB44">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2、本条款为独立条款，本合同的无效、变更、解除和终止均不影响本条款的效力。</w:t>
      </w:r>
    </w:p>
    <w:p w14:paraId="7674413E">
      <w:pPr>
        <w:autoSpaceDE w:val="0"/>
        <w:autoSpaceDN w:val="0"/>
        <w:spacing w:line="360" w:lineRule="auto"/>
        <w:ind w:firstLine="422" w:firstLineChars="200"/>
        <w:rPr>
          <w:rFonts w:hint="eastAsia" w:ascii="宋体" w:hAnsi="宋体" w:cs="宋体"/>
          <w:b/>
          <w:bCs/>
          <w:sz w:val="21"/>
          <w:szCs w:val="21"/>
        </w:rPr>
      </w:pPr>
      <w:r>
        <w:rPr>
          <w:rFonts w:hint="eastAsia" w:ascii="宋体" w:hAnsi="宋体" w:cs="宋体"/>
          <w:b/>
          <w:bCs/>
          <w:sz w:val="21"/>
          <w:szCs w:val="21"/>
        </w:rPr>
        <w:t>第九条不可抗力事件处理</w:t>
      </w:r>
    </w:p>
    <w:p w14:paraId="6EE6958B">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1．在合同有效期内，任何一方因不可抗力事件导致不能履行合同，则合同履行期可延长，其延长期与不可抗力影响期相同</w:t>
      </w:r>
      <w:bookmarkStart w:id="0" w:name="_GoBack"/>
      <w:bookmarkEnd w:id="0"/>
      <w:r>
        <w:rPr>
          <w:rFonts w:hint="eastAsia" w:ascii="宋体" w:hAnsi="宋体" w:cs="宋体"/>
          <w:bCs/>
          <w:sz w:val="21"/>
          <w:szCs w:val="21"/>
        </w:rPr>
        <w:t>。</w:t>
      </w:r>
    </w:p>
    <w:p w14:paraId="726F0293">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2．不可抗力事件发生后，应立即通知对方，并寄送有关权威机构出具的证明。</w:t>
      </w:r>
    </w:p>
    <w:p w14:paraId="1E744341">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3．不可抗力事件延续15个日历日以上，双方应通过友好协商，确定是否继续履行合同。</w:t>
      </w:r>
    </w:p>
    <w:p w14:paraId="65BF6498">
      <w:pPr>
        <w:autoSpaceDE w:val="0"/>
        <w:autoSpaceDN w:val="0"/>
        <w:spacing w:line="360" w:lineRule="auto"/>
        <w:ind w:firstLine="422" w:firstLineChars="200"/>
        <w:rPr>
          <w:rFonts w:hint="eastAsia" w:ascii="宋体" w:hAnsi="宋体" w:cs="宋体"/>
          <w:b/>
          <w:bCs/>
          <w:sz w:val="21"/>
          <w:szCs w:val="21"/>
        </w:rPr>
      </w:pPr>
      <w:r>
        <w:rPr>
          <w:rFonts w:hint="eastAsia" w:ascii="宋体" w:hAnsi="宋体" w:cs="宋体"/>
          <w:b/>
          <w:bCs/>
          <w:sz w:val="21"/>
          <w:szCs w:val="21"/>
        </w:rPr>
        <w:t>第十条合同的变更和终止</w:t>
      </w:r>
    </w:p>
    <w:p w14:paraId="490AA3A1">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除《中华人民共和国政府采购法》第49条、第50条第二款规定的情形外，本合同一经签订，甲乙双方不得擅自变更、中止或终止合同。</w:t>
      </w:r>
    </w:p>
    <w:p w14:paraId="3C3AC431">
      <w:pPr>
        <w:autoSpaceDE w:val="0"/>
        <w:autoSpaceDN w:val="0"/>
        <w:spacing w:line="360" w:lineRule="auto"/>
        <w:ind w:firstLine="422" w:firstLineChars="200"/>
        <w:rPr>
          <w:rFonts w:hint="eastAsia" w:ascii="宋体" w:hAnsi="宋体" w:cs="宋体"/>
          <w:b/>
          <w:bCs/>
          <w:sz w:val="21"/>
          <w:szCs w:val="21"/>
        </w:rPr>
      </w:pPr>
      <w:r>
        <w:rPr>
          <w:rFonts w:hint="eastAsia" w:ascii="宋体" w:hAnsi="宋体" w:cs="宋体"/>
          <w:b/>
          <w:bCs/>
          <w:sz w:val="21"/>
          <w:szCs w:val="21"/>
        </w:rPr>
        <w:t>第十一条解决合同纠纷的方式</w:t>
      </w:r>
    </w:p>
    <w:p w14:paraId="65F1F83C">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1．在执行本合同中发生的或与本合同有关的争端，双方应通过友好协商解决，经协商在7天内不能达成协议时，则采取以下第（1）种方式解决争议：</w:t>
      </w:r>
    </w:p>
    <w:p w14:paraId="5C10D039">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（1）向甲方所在地有管辖权的人民法院提起诉讼；</w:t>
      </w:r>
    </w:p>
    <w:p w14:paraId="48219260">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（2）向韩城仲裁委员会按其仲裁规则申请仲裁。</w:t>
      </w:r>
    </w:p>
    <w:p w14:paraId="29906EAE">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2．在仲裁期间，本合同应继续履行。</w:t>
      </w:r>
    </w:p>
    <w:p w14:paraId="749C3F91">
      <w:pPr>
        <w:autoSpaceDE w:val="0"/>
        <w:autoSpaceDN w:val="0"/>
        <w:spacing w:line="360" w:lineRule="auto"/>
        <w:ind w:firstLine="422" w:firstLineChars="200"/>
        <w:rPr>
          <w:rFonts w:hint="eastAsia" w:ascii="宋体" w:hAnsi="宋体" w:cs="宋体"/>
          <w:b/>
          <w:bCs/>
          <w:sz w:val="21"/>
          <w:szCs w:val="21"/>
        </w:rPr>
      </w:pPr>
      <w:r>
        <w:rPr>
          <w:rFonts w:hint="eastAsia" w:ascii="宋体" w:hAnsi="宋体" w:cs="宋体"/>
          <w:b/>
          <w:bCs/>
          <w:sz w:val="21"/>
          <w:szCs w:val="21"/>
        </w:rPr>
        <w:t>第十二条合同生效及其他</w:t>
      </w:r>
    </w:p>
    <w:p w14:paraId="045B8337">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1．合同经双方法定代表人（单位负责人）或授权委托代理人签名并加盖单位公章后生效。</w:t>
      </w:r>
    </w:p>
    <w:p w14:paraId="63840176">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2．合同执行中涉及采购资金和采购内容修改或补充的，须经政府采购监管部门审批，并签书面补充协议报政府采购监督管理部门备案，方可作为主合同不可分割的一部分。</w:t>
      </w:r>
    </w:p>
    <w:p w14:paraId="4B263005">
      <w:pPr>
        <w:widowControl w:val="0"/>
        <w:adjustRightInd/>
        <w:snapToGrid/>
        <w:spacing w:line="360" w:lineRule="auto"/>
        <w:ind w:firstLine="420" w:firstLineChars="200"/>
        <w:rPr>
          <w:rFonts w:hint="eastAsia" w:ascii="宋体" w:hAnsi="宋体" w:cs="宋体"/>
          <w:bCs/>
          <w:sz w:val="21"/>
          <w:szCs w:val="21"/>
        </w:rPr>
      </w:pPr>
      <w:r>
        <w:rPr>
          <w:rFonts w:hint="eastAsia" w:ascii="宋体" w:hAnsi="宋体" w:cs="宋体"/>
          <w:bCs/>
          <w:sz w:val="21"/>
          <w:szCs w:val="21"/>
        </w:rPr>
        <w:t>3．本合同一式 份，自双方签章之日起起效。甲方 份乙方 份，具有同等法律效力。</w:t>
      </w:r>
    </w:p>
    <w:p w14:paraId="49CF76AA">
      <w:pPr>
        <w:pStyle w:val="4"/>
        <w:spacing w:line="360" w:lineRule="auto"/>
        <w:ind w:firstLine="422" w:firstLineChars="200"/>
        <w:rPr>
          <w:rFonts w:hint="eastAsia" w:ascii="宋体" w:hAnsi="宋体" w:cs="宋体"/>
          <w:sz w:val="21"/>
          <w:szCs w:val="21"/>
        </w:rPr>
      </w:pPr>
      <w:r>
        <w:rPr>
          <w:rFonts w:hint="eastAsia" w:ascii="宋体" w:hAnsi="宋体" w:cs="宋体"/>
          <w:sz w:val="21"/>
          <w:szCs w:val="21"/>
        </w:rPr>
        <w:t>第十三条附件</w:t>
      </w:r>
    </w:p>
    <w:p w14:paraId="54D46250">
      <w:pPr>
        <w:spacing w:line="360" w:lineRule="auto"/>
        <w:ind w:firstLine="420" w:firstLineChars="200"/>
        <w:jc w:val="both"/>
        <w:rPr>
          <w:rFonts w:hint="eastAsia" w:ascii="宋体" w:hAnsi="宋体" w:eastAsia="宋体" w:cs="宋体"/>
          <w:sz w:val="21"/>
          <w:szCs w:val="21"/>
          <w:lang w:eastAsia="zh-CN"/>
        </w:rPr>
      </w:pPr>
      <w:r>
        <w:rPr>
          <w:rFonts w:hint="eastAsia" w:ascii="宋体" w:hAnsi="宋体" w:cs="宋体"/>
          <w:sz w:val="21"/>
          <w:szCs w:val="21"/>
        </w:rPr>
        <w:t>1．项目</w:t>
      </w:r>
      <w:r>
        <w:rPr>
          <w:rFonts w:hint="eastAsia" w:ascii="宋体" w:hAnsi="宋体" w:cs="宋体"/>
          <w:sz w:val="21"/>
          <w:szCs w:val="21"/>
          <w:lang w:eastAsia="zh-CN"/>
        </w:rPr>
        <w:t>招标文件</w:t>
      </w:r>
    </w:p>
    <w:p w14:paraId="4F9B8335">
      <w:pPr>
        <w:spacing w:line="360" w:lineRule="auto"/>
        <w:ind w:firstLine="420" w:firstLineChars="200"/>
        <w:jc w:val="both"/>
        <w:rPr>
          <w:rFonts w:hint="eastAsia" w:ascii="宋体" w:hAnsi="宋体" w:cs="宋体"/>
          <w:sz w:val="21"/>
          <w:szCs w:val="21"/>
        </w:rPr>
      </w:pPr>
      <w:r>
        <w:rPr>
          <w:rFonts w:hint="eastAsia" w:ascii="宋体" w:hAnsi="宋体" w:cs="宋体"/>
          <w:sz w:val="21"/>
          <w:szCs w:val="21"/>
        </w:rPr>
        <w:t>2．项目修改澄清文件</w:t>
      </w:r>
    </w:p>
    <w:p w14:paraId="5D2D8CCA">
      <w:pPr>
        <w:spacing w:line="360" w:lineRule="auto"/>
        <w:ind w:firstLine="420" w:firstLineChars="200"/>
        <w:jc w:val="both"/>
        <w:rPr>
          <w:rFonts w:hint="eastAsia" w:ascii="宋体" w:hAnsi="宋体" w:eastAsia="宋体" w:cs="宋体"/>
          <w:sz w:val="21"/>
          <w:szCs w:val="21"/>
          <w:lang w:eastAsia="zh-CN"/>
        </w:rPr>
      </w:pPr>
      <w:r>
        <w:rPr>
          <w:rFonts w:hint="eastAsia" w:ascii="宋体" w:hAnsi="宋体" w:cs="宋体"/>
          <w:sz w:val="21"/>
          <w:szCs w:val="21"/>
        </w:rPr>
        <w:t>3．项目</w:t>
      </w:r>
      <w:r>
        <w:rPr>
          <w:rFonts w:hint="eastAsia" w:ascii="宋体" w:hAnsi="宋体" w:cs="宋体"/>
          <w:sz w:val="21"/>
          <w:szCs w:val="21"/>
          <w:lang w:eastAsia="zh-CN"/>
        </w:rPr>
        <w:t>投标文件</w:t>
      </w:r>
    </w:p>
    <w:p w14:paraId="3DA5AE2C">
      <w:pPr>
        <w:spacing w:line="360" w:lineRule="auto"/>
        <w:ind w:firstLine="420" w:firstLineChars="200"/>
        <w:jc w:val="both"/>
        <w:rPr>
          <w:rFonts w:hint="eastAsia" w:ascii="宋体" w:hAnsi="宋体" w:cs="宋体"/>
          <w:sz w:val="21"/>
          <w:szCs w:val="21"/>
        </w:rPr>
      </w:pPr>
      <w:r>
        <w:rPr>
          <w:rFonts w:hint="eastAsia" w:ascii="宋体" w:hAnsi="宋体" w:cs="宋体"/>
          <w:sz w:val="21"/>
          <w:szCs w:val="21"/>
        </w:rPr>
        <w:t>4．成交通知书</w:t>
      </w:r>
    </w:p>
    <w:p w14:paraId="6858C5C9">
      <w:pPr>
        <w:spacing w:line="360" w:lineRule="auto"/>
        <w:ind w:firstLine="420" w:firstLineChars="200"/>
        <w:jc w:val="both"/>
        <w:rPr>
          <w:rFonts w:hint="eastAsia" w:ascii="宋体" w:hAnsi="宋体" w:cs="宋体"/>
          <w:sz w:val="21"/>
          <w:szCs w:val="21"/>
        </w:rPr>
      </w:pPr>
      <w:r>
        <w:rPr>
          <w:rFonts w:hint="eastAsia" w:ascii="宋体" w:hAnsi="宋体" w:cs="宋体"/>
          <w:sz w:val="21"/>
          <w:szCs w:val="21"/>
        </w:rPr>
        <w:t>5．其他</w:t>
      </w:r>
    </w:p>
    <w:p w14:paraId="36E61AB0">
      <w:pPr>
        <w:spacing w:line="360" w:lineRule="auto"/>
        <w:ind w:firstLine="420" w:firstLineChars="200"/>
        <w:jc w:val="both"/>
        <w:rPr>
          <w:rFonts w:hint="eastAsia" w:ascii="宋体" w:hAnsi="宋体" w:cs="宋体"/>
          <w:sz w:val="21"/>
          <w:szCs w:val="21"/>
        </w:rPr>
      </w:pPr>
      <w:r>
        <w:rPr>
          <w:rFonts w:hint="eastAsia" w:ascii="宋体" w:hAnsi="宋体" w:cs="宋体"/>
          <w:sz w:val="21"/>
          <w:szCs w:val="21"/>
        </w:rPr>
        <w:t>（以下无正文）</w:t>
      </w:r>
    </w:p>
    <w:tbl>
      <w:tblPr>
        <w:tblStyle w:val="5"/>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2527"/>
        <w:gridCol w:w="1762"/>
        <w:gridCol w:w="2672"/>
      </w:tblGrid>
      <w:tr w14:paraId="76C99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319BFD97">
            <w:pPr>
              <w:spacing w:after="0" w:line="360" w:lineRule="auto"/>
              <w:jc w:val="center"/>
              <w:rPr>
                <w:rFonts w:hint="eastAsia" w:ascii="宋体" w:hAnsi="宋体" w:cs="宋体"/>
                <w:sz w:val="21"/>
                <w:szCs w:val="21"/>
              </w:rPr>
            </w:pPr>
            <w:r>
              <w:rPr>
                <w:rFonts w:hint="eastAsia" w:ascii="宋体" w:hAnsi="宋体" w:cs="宋体"/>
                <w:sz w:val="21"/>
                <w:szCs w:val="21"/>
              </w:rPr>
              <w:t>甲方（盖章）：</w:t>
            </w:r>
          </w:p>
        </w:tc>
        <w:tc>
          <w:tcPr>
            <w:tcW w:w="2527" w:type="dxa"/>
            <w:noWrap w:val="0"/>
            <w:vAlign w:val="center"/>
          </w:tcPr>
          <w:p w14:paraId="5B97E9E9">
            <w:pPr>
              <w:spacing w:after="0" w:line="360" w:lineRule="auto"/>
              <w:jc w:val="center"/>
              <w:rPr>
                <w:rFonts w:hint="eastAsia" w:ascii="宋体" w:hAnsi="宋体" w:cs="宋体"/>
                <w:sz w:val="21"/>
                <w:szCs w:val="21"/>
              </w:rPr>
            </w:pPr>
          </w:p>
        </w:tc>
        <w:tc>
          <w:tcPr>
            <w:tcW w:w="1762" w:type="dxa"/>
            <w:noWrap w:val="0"/>
            <w:vAlign w:val="center"/>
          </w:tcPr>
          <w:p w14:paraId="49F8979E">
            <w:pPr>
              <w:spacing w:after="0" w:line="360" w:lineRule="auto"/>
              <w:jc w:val="center"/>
              <w:rPr>
                <w:rFonts w:hint="eastAsia" w:ascii="宋体" w:hAnsi="宋体" w:cs="宋体"/>
                <w:sz w:val="21"/>
                <w:szCs w:val="21"/>
              </w:rPr>
            </w:pPr>
            <w:r>
              <w:rPr>
                <w:rFonts w:hint="eastAsia" w:ascii="宋体" w:hAnsi="宋体" w:cs="宋体"/>
                <w:sz w:val="21"/>
                <w:szCs w:val="21"/>
              </w:rPr>
              <w:t>乙方（盖章）：</w:t>
            </w:r>
          </w:p>
        </w:tc>
        <w:tc>
          <w:tcPr>
            <w:tcW w:w="2672" w:type="dxa"/>
            <w:noWrap w:val="0"/>
            <w:vAlign w:val="center"/>
          </w:tcPr>
          <w:p w14:paraId="22E31B39">
            <w:pPr>
              <w:spacing w:after="0" w:line="360" w:lineRule="auto"/>
              <w:jc w:val="center"/>
              <w:rPr>
                <w:rFonts w:hint="eastAsia" w:ascii="宋体" w:hAnsi="宋体" w:cs="宋体"/>
                <w:sz w:val="21"/>
                <w:szCs w:val="21"/>
              </w:rPr>
            </w:pPr>
          </w:p>
        </w:tc>
      </w:tr>
      <w:tr w14:paraId="1C1D6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53D0550">
            <w:pPr>
              <w:spacing w:after="0" w:line="360" w:lineRule="auto"/>
              <w:jc w:val="center"/>
              <w:rPr>
                <w:rFonts w:hint="eastAsia" w:ascii="宋体" w:hAnsi="宋体" w:cs="宋体"/>
                <w:sz w:val="21"/>
                <w:szCs w:val="21"/>
              </w:rPr>
            </w:pPr>
            <w:r>
              <w:rPr>
                <w:rFonts w:hint="eastAsia" w:ascii="宋体" w:hAnsi="宋体" w:cs="宋体"/>
                <w:sz w:val="21"/>
                <w:szCs w:val="21"/>
              </w:rPr>
              <w:t>法定代表人（委托代理人）：</w:t>
            </w:r>
          </w:p>
        </w:tc>
        <w:tc>
          <w:tcPr>
            <w:tcW w:w="2527" w:type="dxa"/>
            <w:noWrap w:val="0"/>
            <w:vAlign w:val="center"/>
          </w:tcPr>
          <w:p w14:paraId="0D03E34F">
            <w:pPr>
              <w:spacing w:after="0" w:line="360" w:lineRule="auto"/>
              <w:jc w:val="center"/>
              <w:rPr>
                <w:rFonts w:hint="eastAsia" w:ascii="宋体" w:hAnsi="宋体" w:cs="宋体"/>
                <w:sz w:val="21"/>
                <w:szCs w:val="21"/>
              </w:rPr>
            </w:pPr>
          </w:p>
        </w:tc>
        <w:tc>
          <w:tcPr>
            <w:tcW w:w="1762" w:type="dxa"/>
            <w:noWrap w:val="0"/>
            <w:vAlign w:val="center"/>
          </w:tcPr>
          <w:p w14:paraId="394CBC48">
            <w:pPr>
              <w:spacing w:after="0" w:line="360" w:lineRule="auto"/>
              <w:jc w:val="center"/>
              <w:rPr>
                <w:rFonts w:hint="eastAsia" w:ascii="宋体" w:hAnsi="宋体" w:cs="宋体"/>
                <w:sz w:val="21"/>
                <w:szCs w:val="21"/>
              </w:rPr>
            </w:pPr>
            <w:r>
              <w:rPr>
                <w:rFonts w:hint="eastAsia" w:ascii="宋体" w:hAnsi="宋体" w:cs="宋体"/>
                <w:sz w:val="21"/>
                <w:szCs w:val="21"/>
              </w:rPr>
              <w:t>法定代表人（委托代理人）：</w:t>
            </w:r>
          </w:p>
        </w:tc>
        <w:tc>
          <w:tcPr>
            <w:tcW w:w="2672" w:type="dxa"/>
            <w:noWrap w:val="0"/>
            <w:vAlign w:val="center"/>
          </w:tcPr>
          <w:p w14:paraId="19FEC708">
            <w:pPr>
              <w:spacing w:after="0" w:line="360" w:lineRule="auto"/>
              <w:jc w:val="center"/>
              <w:rPr>
                <w:rFonts w:hint="eastAsia" w:ascii="宋体" w:hAnsi="宋体" w:cs="宋体"/>
                <w:sz w:val="21"/>
                <w:szCs w:val="21"/>
              </w:rPr>
            </w:pPr>
          </w:p>
        </w:tc>
      </w:tr>
      <w:tr w14:paraId="722F4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4E1CFC82">
            <w:pPr>
              <w:spacing w:after="0" w:line="360" w:lineRule="auto"/>
              <w:jc w:val="center"/>
              <w:rPr>
                <w:rFonts w:hint="eastAsia" w:ascii="宋体" w:hAnsi="宋体" w:cs="宋体"/>
                <w:sz w:val="21"/>
                <w:szCs w:val="21"/>
              </w:rPr>
            </w:pPr>
            <w:r>
              <w:rPr>
                <w:rFonts w:hint="eastAsia" w:ascii="宋体" w:hAnsi="宋体" w:cs="宋体"/>
                <w:sz w:val="21"/>
                <w:szCs w:val="21"/>
              </w:rPr>
              <w:t>地址：</w:t>
            </w:r>
          </w:p>
        </w:tc>
        <w:tc>
          <w:tcPr>
            <w:tcW w:w="2527" w:type="dxa"/>
            <w:noWrap w:val="0"/>
            <w:vAlign w:val="center"/>
          </w:tcPr>
          <w:p w14:paraId="01DBB890">
            <w:pPr>
              <w:spacing w:after="0" w:line="360" w:lineRule="auto"/>
              <w:jc w:val="center"/>
              <w:rPr>
                <w:rFonts w:hint="eastAsia" w:ascii="宋体" w:hAnsi="宋体" w:cs="宋体"/>
                <w:sz w:val="21"/>
                <w:szCs w:val="21"/>
              </w:rPr>
            </w:pPr>
          </w:p>
        </w:tc>
        <w:tc>
          <w:tcPr>
            <w:tcW w:w="1762" w:type="dxa"/>
            <w:noWrap w:val="0"/>
            <w:vAlign w:val="center"/>
          </w:tcPr>
          <w:p w14:paraId="25D63ED6">
            <w:pPr>
              <w:spacing w:after="0" w:line="360" w:lineRule="auto"/>
              <w:jc w:val="center"/>
              <w:rPr>
                <w:rFonts w:hint="eastAsia" w:ascii="宋体" w:hAnsi="宋体" w:cs="宋体"/>
                <w:sz w:val="21"/>
                <w:szCs w:val="21"/>
              </w:rPr>
            </w:pPr>
            <w:r>
              <w:rPr>
                <w:rFonts w:hint="eastAsia" w:ascii="宋体" w:hAnsi="宋体" w:cs="宋体"/>
                <w:sz w:val="21"/>
                <w:szCs w:val="21"/>
              </w:rPr>
              <w:t>地址：</w:t>
            </w:r>
          </w:p>
        </w:tc>
        <w:tc>
          <w:tcPr>
            <w:tcW w:w="2672" w:type="dxa"/>
            <w:noWrap w:val="0"/>
            <w:vAlign w:val="center"/>
          </w:tcPr>
          <w:p w14:paraId="36314EF9">
            <w:pPr>
              <w:spacing w:after="0" w:line="360" w:lineRule="auto"/>
              <w:jc w:val="center"/>
              <w:rPr>
                <w:rFonts w:hint="eastAsia" w:ascii="宋体" w:hAnsi="宋体" w:cs="宋体"/>
                <w:sz w:val="21"/>
                <w:szCs w:val="21"/>
              </w:rPr>
            </w:pPr>
          </w:p>
        </w:tc>
      </w:tr>
      <w:tr w14:paraId="1A667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A0919D9">
            <w:pPr>
              <w:spacing w:after="0" w:line="360" w:lineRule="auto"/>
              <w:jc w:val="center"/>
              <w:rPr>
                <w:rFonts w:ascii="宋体" w:hAnsi="宋体" w:cs="宋体"/>
                <w:sz w:val="21"/>
                <w:szCs w:val="21"/>
              </w:rPr>
            </w:pPr>
            <w:r>
              <w:rPr>
                <w:rFonts w:hint="eastAsia" w:ascii="宋体" w:hAnsi="宋体" w:cs="宋体"/>
                <w:sz w:val="21"/>
                <w:szCs w:val="21"/>
              </w:rPr>
              <w:t>社会信用代码：</w:t>
            </w:r>
          </w:p>
        </w:tc>
        <w:tc>
          <w:tcPr>
            <w:tcW w:w="2527" w:type="dxa"/>
            <w:noWrap w:val="0"/>
            <w:vAlign w:val="center"/>
          </w:tcPr>
          <w:p w14:paraId="38A88C9C">
            <w:pPr>
              <w:spacing w:after="0" w:line="360" w:lineRule="auto"/>
              <w:jc w:val="center"/>
              <w:rPr>
                <w:rFonts w:hint="eastAsia" w:ascii="宋体" w:hAnsi="宋体" w:cs="宋体"/>
                <w:sz w:val="21"/>
                <w:szCs w:val="21"/>
              </w:rPr>
            </w:pPr>
          </w:p>
        </w:tc>
        <w:tc>
          <w:tcPr>
            <w:tcW w:w="1762" w:type="dxa"/>
            <w:noWrap w:val="0"/>
            <w:vAlign w:val="center"/>
          </w:tcPr>
          <w:p w14:paraId="514741B8">
            <w:pPr>
              <w:spacing w:after="0" w:line="360" w:lineRule="auto"/>
              <w:jc w:val="center"/>
              <w:rPr>
                <w:rFonts w:hint="eastAsia" w:ascii="宋体" w:hAnsi="宋体" w:cs="宋体"/>
                <w:sz w:val="21"/>
                <w:szCs w:val="21"/>
              </w:rPr>
            </w:pPr>
            <w:r>
              <w:rPr>
                <w:rFonts w:hint="eastAsia" w:ascii="宋体" w:hAnsi="宋体" w:cs="宋体"/>
                <w:sz w:val="21"/>
                <w:szCs w:val="21"/>
              </w:rPr>
              <w:t>社会信用代码：</w:t>
            </w:r>
          </w:p>
        </w:tc>
        <w:tc>
          <w:tcPr>
            <w:tcW w:w="2672" w:type="dxa"/>
            <w:noWrap w:val="0"/>
            <w:vAlign w:val="center"/>
          </w:tcPr>
          <w:p w14:paraId="522AA983">
            <w:pPr>
              <w:spacing w:after="0" w:line="360" w:lineRule="auto"/>
              <w:jc w:val="center"/>
              <w:rPr>
                <w:rFonts w:hint="eastAsia" w:ascii="宋体" w:hAnsi="宋体" w:cs="宋体"/>
                <w:sz w:val="21"/>
                <w:szCs w:val="21"/>
              </w:rPr>
            </w:pPr>
          </w:p>
        </w:tc>
      </w:tr>
      <w:tr w14:paraId="72EF3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889A4C3">
            <w:pPr>
              <w:spacing w:after="0" w:line="360" w:lineRule="auto"/>
              <w:jc w:val="center"/>
              <w:rPr>
                <w:rFonts w:hint="eastAsia" w:ascii="宋体" w:hAnsi="宋体" w:cs="宋体"/>
                <w:sz w:val="21"/>
                <w:szCs w:val="21"/>
              </w:rPr>
            </w:pPr>
            <w:r>
              <w:rPr>
                <w:rFonts w:hint="eastAsia" w:ascii="宋体" w:hAnsi="宋体" w:cs="宋体"/>
                <w:sz w:val="21"/>
                <w:szCs w:val="21"/>
              </w:rPr>
              <w:t>开户银行：</w:t>
            </w:r>
          </w:p>
        </w:tc>
        <w:tc>
          <w:tcPr>
            <w:tcW w:w="2527" w:type="dxa"/>
            <w:noWrap w:val="0"/>
            <w:vAlign w:val="center"/>
          </w:tcPr>
          <w:p w14:paraId="1C605DE0">
            <w:pPr>
              <w:spacing w:after="0" w:line="360" w:lineRule="auto"/>
              <w:jc w:val="center"/>
              <w:rPr>
                <w:rFonts w:hint="eastAsia" w:ascii="宋体" w:hAnsi="宋体" w:cs="宋体"/>
                <w:sz w:val="21"/>
                <w:szCs w:val="21"/>
              </w:rPr>
            </w:pPr>
          </w:p>
        </w:tc>
        <w:tc>
          <w:tcPr>
            <w:tcW w:w="1762" w:type="dxa"/>
            <w:noWrap w:val="0"/>
            <w:vAlign w:val="center"/>
          </w:tcPr>
          <w:p w14:paraId="39305A67">
            <w:pPr>
              <w:spacing w:after="0" w:line="360" w:lineRule="auto"/>
              <w:jc w:val="center"/>
              <w:rPr>
                <w:rFonts w:hint="eastAsia" w:ascii="宋体" w:hAnsi="宋体" w:cs="宋体"/>
                <w:sz w:val="21"/>
                <w:szCs w:val="21"/>
              </w:rPr>
            </w:pPr>
            <w:r>
              <w:rPr>
                <w:rFonts w:hint="eastAsia" w:ascii="宋体" w:hAnsi="宋体" w:cs="宋体"/>
                <w:sz w:val="21"/>
                <w:szCs w:val="21"/>
              </w:rPr>
              <w:t>开户银行：</w:t>
            </w:r>
          </w:p>
        </w:tc>
        <w:tc>
          <w:tcPr>
            <w:tcW w:w="2672" w:type="dxa"/>
            <w:noWrap w:val="0"/>
            <w:vAlign w:val="center"/>
          </w:tcPr>
          <w:p w14:paraId="2094DE23">
            <w:pPr>
              <w:spacing w:after="0" w:line="360" w:lineRule="auto"/>
              <w:jc w:val="center"/>
              <w:rPr>
                <w:rFonts w:hint="eastAsia" w:ascii="宋体" w:hAnsi="宋体" w:cs="宋体"/>
                <w:sz w:val="21"/>
                <w:szCs w:val="21"/>
              </w:rPr>
            </w:pPr>
          </w:p>
        </w:tc>
      </w:tr>
      <w:tr w14:paraId="5940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7F9F7CE0">
            <w:pPr>
              <w:spacing w:after="0" w:line="360" w:lineRule="auto"/>
              <w:jc w:val="center"/>
              <w:rPr>
                <w:rFonts w:hint="eastAsia" w:ascii="宋体" w:hAnsi="宋体" w:cs="宋体"/>
                <w:sz w:val="21"/>
                <w:szCs w:val="21"/>
              </w:rPr>
            </w:pPr>
            <w:r>
              <w:rPr>
                <w:rFonts w:hint="eastAsia" w:ascii="宋体" w:hAnsi="宋体" w:cs="宋体"/>
                <w:sz w:val="21"/>
                <w:szCs w:val="21"/>
              </w:rPr>
              <w:t>银行帐号：</w:t>
            </w:r>
          </w:p>
        </w:tc>
        <w:tc>
          <w:tcPr>
            <w:tcW w:w="2527" w:type="dxa"/>
            <w:noWrap w:val="0"/>
            <w:vAlign w:val="center"/>
          </w:tcPr>
          <w:p w14:paraId="27B4EC76">
            <w:pPr>
              <w:spacing w:after="0" w:line="360" w:lineRule="auto"/>
              <w:jc w:val="center"/>
              <w:rPr>
                <w:rFonts w:hint="eastAsia" w:ascii="宋体" w:hAnsi="宋体" w:cs="宋体"/>
                <w:sz w:val="21"/>
                <w:szCs w:val="21"/>
              </w:rPr>
            </w:pPr>
          </w:p>
        </w:tc>
        <w:tc>
          <w:tcPr>
            <w:tcW w:w="1762" w:type="dxa"/>
            <w:noWrap w:val="0"/>
            <w:vAlign w:val="center"/>
          </w:tcPr>
          <w:p w14:paraId="325B3DF6">
            <w:pPr>
              <w:spacing w:after="0" w:line="360" w:lineRule="auto"/>
              <w:jc w:val="center"/>
              <w:rPr>
                <w:rFonts w:hint="eastAsia" w:ascii="宋体" w:hAnsi="宋体" w:cs="宋体"/>
                <w:sz w:val="21"/>
                <w:szCs w:val="21"/>
              </w:rPr>
            </w:pPr>
            <w:r>
              <w:rPr>
                <w:rFonts w:hint="eastAsia" w:ascii="宋体" w:hAnsi="宋体" w:cs="宋体"/>
                <w:sz w:val="21"/>
                <w:szCs w:val="21"/>
              </w:rPr>
              <w:t>银行帐号：</w:t>
            </w:r>
          </w:p>
        </w:tc>
        <w:tc>
          <w:tcPr>
            <w:tcW w:w="2672" w:type="dxa"/>
            <w:noWrap w:val="0"/>
            <w:vAlign w:val="center"/>
          </w:tcPr>
          <w:p w14:paraId="006FFD13">
            <w:pPr>
              <w:spacing w:after="0" w:line="360" w:lineRule="auto"/>
              <w:jc w:val="center"/>
              <w:rPr>
                <w:rFonts w:hint="eastAsia" w:ascii="宋体" w:hAnsi="宋体" w:cs="宋体"/>
                <w:sz w:val="21"/>
                <w:szCs w:val="21"/>
              </w:rPr>
            </w:pPr>
          </w:p>
        </w:tc>
      </w:tr>
      <w:tr w14:paraId="1161B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3F8ABFAD">
            <w:pPr>
              <w:spacing w:after="0" w:line="360" w:lineRule="auto"/>
              <w:jc w:val="center"/>
              <w:rPr>
                <w:rFonts w:hint="eastAsia" w:ascii="宋体" w:hAnsi="宋体" w:cs="宋体"/>
                <w:sz w:val="21"/>
                <w:szCs w:val="21"/>
              </w:rPr>
            </w:pPr>
            <w:r>
              <w:rPr>
                <w:rFonts w:hint="eastAsia" w:ascii="宋体" w:hAnsi="宋体" w:cs="宋体"/>
                <w:sz w:val="21"/>
                <w:szCs w:val="21"/>
              </w:rPr>
              <w:t>电话：</w:t>
            </w:r>
          </w:p>
        </w:tc>
        <w:tc>
          <w:tcPr>
            <w:tcW w:w="2527" w:type="dxa"/>
            <w:noWrap w:val="0"/>
            <w:vAlign w:val="center"/>
          </w:tcPr>
          <w:p w14:paraId="0D9087DE">
            <w:pPr>
              <w:spacing w:after="0" w:line="360" w:lineRule="auto"/>
              <w:jc w:val="center"/>
              <w:rPr>
                <w:rFonts w:hint="eastAsia" w:ascii="宋体" w:hAnsi="宋体" w:cs="宋体"/>
                <w:sz w:val="21"/>
                <w:szCs w:val="21"/>
              </w:rPr>
            </w:pPr>
          </w:p>
        </w:tc>
        <w:tc>
          <w:tcPr>
            <w:tcW w:w="1762" w:type="dxa"/>
            <w:noWrap w:val="0"/>
            <w:vAlign w:val="center"/>
          </w:tcPr>
          <w:p w14:paraId="4D804090">
            <w:pPr>
              <w:spacing w:after="0" w:line="360" w:lineRule="auto"/>
              <w:jc w:val="center"/>
              <w:rPr>
                <w:rFonts w:hint="eastAsia" w:ascii="宋体" w:hAnsi="宋体" w:cs="宋体"/>
                <w:sz w:val="21"/>
                <w:szCs w:val="21"/>
              </w:rPr>
            </w:pPr>
            <w:r>
              <w:rPr>
                <w:rFonts w:hint="eastAsia" w:ascii="宋体" w:hAnsi="宋体" w:cs="宋体"/>
                <w:sz w:val="21"/>
                <w:szCs w:val="21"/>
              </w:rPr>
              <w:t>电话：</w:t>
            </w:r>
          </w:p>
        </w:tc>
        <w:tc>
          <w:tcPr>
            <w:tcW w:w="2672" w:type="dxa"/>
            <w:noWrap w:val="0"/>
            <w:vAlign w:val="center"/>
          </w:tcPr>
          <w:p w14:paraId="5F956BAC">
            <w:pPr>
              <w:spacing w:after="0" w:line="360" w:lineRule="auto"/>
              <w:jc w:val="center"/>
              <w:rPr>
                <w:rFonts w:hint="eastAsia" w:ascii="宋体" w:hAnsi="宋体" w:cs="宋体"/>
                <w:sz w:val="21"/>
                <w:szCs w:val="21"/>
              </w:rPr>
            </w:pPr>
          </w:p>
        </w:tc>
      </w:tr>
      <w:tr w14:paraId="5E319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552EA61C">
            <w:pPr>
              <w:spacing w:after="0" w:line="360" w:lineRule="auto"/>
              <w:jc w:val="center"/>
              <w:rPr>
                <w:rFonts w:hint="eastAsia" w:ascii="宋体" w:hAnsi="宋体" w:cs="宋体"/>
                <w:sz w:val="21"/>
                <w:szCs w:val="21"/>
              </w:rPr>
            </w:pPr>
            <w:r>
              <w:rPr>
                <w:rFonts w:hint="eastAsia" w:ascii="宋体" w:hAnsi="宋体" w:cs="宋体"/>
                <w:sz w:val="21"/>
                <w:szCs w:val="21"/>
              </w:rPr>
              <w:t>传真：</w:t>
            </w:r>
          </w:p>
        </w:tc>
        <w:tc>
          <w:tcPr>
            <w:tcW w:w="2527" w:type="dxa"/>
            <w:noWrap w:val="0"/>
            <w:vAlign w:val="center"/>
          </w:tcPr>
          <w:p w14:paraId="5F24A469">
            <w:pPr>
              <w:spacing w:after="0" w:line="360" w:lineRule="auto"/>
              <w:jc w:val="center"/>
              <w:rPr>
                <w:rFonts w:hint="eastAsia" w:ascii="宋体" w:hAnsi="宋体" w:cs="宋体"/>
                <w:sz w:val="21"/>
                <w:szCs w:val="21"/>
              </w:rPr>
            </w:pPr>
          </w:p>
        </w:tc>
        <w:tc>
          <w:tcPr>
            <w:tcW w:w="1762" w:type="dxa"/>
            <w:noWrap w:val="0"/>
            <w:vAlign w:val="center"/>
          </w:tcPr>
          <w:p w14:paraId="368C0AEC">
            <w:pPr>
              <w:spacing w:after="0" w:line="360" w:lineRule="auto"/>
              <w:jc w:val="center"/>
              <w:rPr>
                <w:rFonts w:hint="eastAsia" w:ascii="宋体" w:hAnsi="宋体" w:cs="宋体"/>
                <w:sz w:val="21"/>
                <w:szCs w:val="21"/>
              </w:rPr>
            </w:pPr>
            <w:r>
              <w:rPr>
                <w:rFonts w:hint="eastAsia" w:ascii="宋体" w:hAnsi="宋体" w:cs="宋体"/>
                <w:sz w:val="21"/>
                <w:szCs w:val="21"/>
              </w:rPr>
              <w:t>传真：</w:t>
            </w:r>
          </w:p>
        </w:tc>
        <w:tc>
          <w:tcPr>
            <w:tcW w:w="2672" w:type="dxa"/>
            <w:noWrap w:val="0"/>
            <w:vAlign w:val="center"/>
          </w:tcPr>
          <w:p w14:paraId="3B2E404D">
            <w:pPr>
              <w:spacing w:after="0" w:line="360" w:lineRule="auto"/>
              <w:jc w:val="center"/>
              <w:rPr>
                <w:rFonts w:hint="eastAsia" w:ascii="宋体" w:hAnsi="宋体" w:cs="宋体"/>
                <w:sz w:val="21"/>
                <w:szCs w:val="21"/>
              </w:rPr>
            </w:pPr>
          </w:p>
        </w:tc>
      </w:tr>
      <w:tr w14:paraId="125C2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2670F149">
            <w:pPr>
              <w:spacing w:after="0" w:line="360" w:lineRule="auto"/>
              <w:jc w:val="center"/>
              <w:rPr>
                <w:rFonts w:hint="eastAsia" w:ascii="宋体" w:hAnsi="宋体" w:cs="宋体"/>
                <w:sz w:val="21"/>
                <w:szCs w:val="21"/>
              </w:rPr>
            </w:pPr>
            <w:r>
              <w:rPr>
                <w:rFonts w:hint="eastAsia" w:ascii="宋体" w:hAnsi="宋体" w:cs="宋体"/>
                <w:sz w:val="21"/>
                <w:szCs w:val="21"/>
              </w:rPr>
              <w:t>签约日期：</w:t>
            </w:r>
          </w:p>
        </w:tc>
        <w:tc>
          <w:tcPr>
            <w:tcW w:w="2527" w:type="dxa"/>
            <w:noWrap w:val="0"/>
            <w:vAlign w:val="center"/>
          </w:tcPr>
          <w:p w14:paraId="60A680BD">
            <w:pPr>
              <w:spacing w:after="0" w:line="360" w:lineRule="auto"/>
              <w:jc w:val="center"/>
              <w:rPr>
                <w:rFonts w:hint="eastAsia" w:ascii="宋体" w:hAnsi="宋体" w:cs="宋体"/>
                <w:sz w:val="21"/>
                <w:szCs w:val="21"/>
              </w:rPr>
            </w:pPr>
            <w:r>
              <w:rPr>
                <w:rFonts w:hint="eastAsia" w:ascii="宋体" w:hAnsi="宋体" w:cs="宋体"/>
                <w:sz w:val="21"/>
                <w:szCs w:val="21"/>
              </w:rPr>
              <w:t>年月日</w:t>
            </w:r>
          </w:p>
        </w:tc>
        <w:tc>
          <w:tcPr>
            <w:tcW w:w="1762" w:type="dxa"/>
            <w:noWrap w:val="0"/>
            <w:vAlign w:val="center"/>
          </w:tcPr>
          <w:p w14:paraId="253BFA13">
            <w:pPr>
              <w:spacing w:after="0" w:line="360" w:lineRule="auto"/>
              <w:jc w:val="center"/>
              <w:rPr>
                <w:rFonts w:hint="eastAsia" w:ascii="宋体" w:hAnsi="宋体" w:cs="宋体"/>
                <w:sz w:val="21"/>
                <w:szCs w:val="21"/>
              </w:rPr>
            </w:pPr>
            <w:r>
              <w:rPr>
                <w:rFonts w:hint="eastAsia" w:ascii="宋体" w:hAnsi="宋体" w:cs="宋体"/>
                <w:sz w:val="21"/>
                <w:szCs w:val="21"/>
              </w:rPr>
              <w:t>签约日期：</w:t>
            </w:r>
          </w:p>
        </w:tc>
        <w:tc>
          <w:tcPr>
            <w:tcW w:w="2672" w:type="dxa"/>
            <w:noWrap w:val="0"/>
            <w:vAlign w:val="center"/>
          </w:tcPr>
          <w:p w14:paraId="3A3A1885">
            <w:pPr>
              <w:spacing w:after="0" w:line="360" w:lineRule="auto"/>
              <w:jc w:val="center"/>
              <w:rPr>
                <w:rFonts w:hint="eastAsia" w:ascii="宋体" w:hAnsi="宋体" w:cs="宋体"/>
                <w:sz w:val="21"/>
                <w:szCs w:val="21"/>
              </w:rPr>
            </w:pPr>
            <w:r>
              <w:rPr>
                <w:rFonts w:hint="eastAsia" w:ascii="宋体" w:hAnsi="宋体" w:cs="宋体"/>
                <w:sz w:val="21"/>
                <w:szCs w:val="21"/>
              </w:rPr>
              <w:t>年月日</w:t>
            </w:r>
          </w:p>
        </w:tc>
      </w:tr>
    </w:tbl>
    <w:p w14:paraId="5C740B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仿宋简体">
    <w:altName w:val="微软雅黑"/>
    <w:panose1 w:val="03000509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E70F5"/>
    <w:rsid w:val="0D0E115E"/>
    <w:rsid w:val="0D913B3D"/>
    <w:rsid w:val="18787DD4"/>
    <w:rsid w:val="31B47F6E"/>
    <w:rsid w:val="3D4520CB"/>
    <w:rsid w:val="49F310FF"/>
    <w:rsid w:val="4C211F55"/>
    <w:rsid w:val="4E2B2C17"/>
    <w:rsid w:val="5AC97A40"/>
    <w:rsid w:val="61B551CA"/>
    <w:rsid w:val="656A587E"/>
    <w:rsid w:val="78623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宋体" w:cs="Tahoma"/>
      <w:sz w:val="22"/>
      <w:szCs w:val="22"/>
      <w:lang w:val="en-US" w:eastAsia="zh-CN" w:bidi="ar-SA"/>
    </w:rPr>
  </w:style>
  <w:style w:type="paragraph" w:styleId="3">
    <w:name w:val="heading 1"/>
    <w:basedOn w:val="1"/>
    <w:next w:val="1"/>
    <w:qFormat/>
    <w:uiPriority w:val="99"/>
    <w:pPr>
      <w:keepNext/>
      <w:keepLines/>
      <w:widowControl w:val="0"/>
      <w:adjustRightInd/>
      <w:snapToGrid/>
      <w:spacing w:before="340" w:after="330" w:line="578" w:lineRule="auto"/>
      <w:jc w:val="center"/>
      <w:outlineLvl w:val="0"/>
    </w:pPr>
    <w:rPr>
      <w:rFonts w:ascii="Calibri" w:hAnsi="Calibri" w:cs="Times New Roman"/>
      <w:b/>
      <w:bCs/>
      <w:kern w:val="44"/>
      <w:sz w:val="32"/>
      <w:szCs w:val="44"/>
      <w:lang w:eastAsia="en-US"/>
    </w:rPr>
  </w:style>
  <w:style w:type="paragraph" w:styleId="4">
    <w:name w:val="heading 2"/>
    <w:basedOn w:val="1"/>
    <w:next w:val="1"/>
    <w:qFormat/>
    <w:uiPriority w:val="99"/>
    <w:pPr>
      <w:keepNext/>
      <w:keepLines/>
      <w:widowControl w:val="0"/>
      <w:adjustRightInd/>
      <w:snapToGrid/>
      <w:spacing w:before="260" w:after="260" w:line="416" w:lineRule="auto"/>
      <w:jc w:val="both"/>
      <w:outlineLvl w:val="1"/>
    </w:pPr>
    <w:rPr>
      <w:rFonts w:ascii="Cambria" w:hAnsi="Cambria"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宋体" w:hAnsi="宋体" w:cs="Times New Roman"/>
      <w:sz w:val="23"/>
      <w:szCs w:val="23"/>
      <w:lang w:eastAsia="en-US"/>
    </w:rPr>
  </w:style>
  <w:style w:type="paragraph" w:customStyle="1" w:styleId="7">
    <w:name w:val="样式 首行缩进:  2 字符"/>
    <w:basedOn w:val="1"/>
    <w:qFormat/>
    <w:uiPriority w:val="0"/>
    <w:pPr>
      <w:spacing w:line="400" w:lineRule="exact"/>
      <w:ind w:firstLine="200" w:firstLineChars="200"/>
    </w:pPr>
    <w:rPr>
      <w:rFonts w:ascii="宋体" w:cs="宋体"/>
      <w:kern w:val="0"/>
      <w:sz w:val="24"/>
      <w:szCs w:val="20"/>
    </w:rPr>
  </w:style>
  <w:style w:type="paragraph" w:customStyle="1" w:styleId="8">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2025-07-28T11:28:55Z</dcterms:created>
  <dc:creator>X</dc:creator>
  <cp:lastModifiedBy>Mr.Xu</cp:lastModifiedBy>
  <dcterms:modified xsi:type="dcterms:W3CDTF">2025-07-28T11:39:57Z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259B36A3774F40B6BDB8FBF880C1A93B_12</vt:lpwstr>
  </property>
</Properties>
</file>