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1D831">
      <w:pPr>
        <w:pStyle w:val="2"/>
        <w:numPr>
          <w:numId w:val="0"/>
        </w:numPr>
        <w:bidi w:val="0"/>
        <w:jc w:val="center"/>
        <w:rPr>
          <w:rFonts w:hint="eastAsia"/>
          <w:highlight w:val="none"/>
          <w:lang w:val="en-US" w:eastAsia="zh-CN"/>
        </w:rPr>
      </w:pPr>
      <w:bookmarkStart w:id="0" w:name="_Toc489023685"/>
      <w:bookmarkStart w:id="1" w:name="_Toc26535"/>
      <w:bookmarkStart w:id="2" w:name="_Toc11305"/>
      <w:r>
        <w:rPr>
          <w:rFonts w:hint="eastAsia"/>
          <w:highlight w:val="none"/>
        </w:rPr>
        <w:t>合同条款及格式</w:t>
      </w:r>
      <w:bookmarkEnd w:id="0"/>
      <w:bookmarkEnd w:id="1"/>
      <w:bookmarkEnd w:id="2"/>
    </w:p>
    <w:p w14:paraId="327104D6">
      <w:pPr>
        <w:widowControl w:val="0"/>
        <w:numPr>
          <w:ilvl w:val="0"/>
          <w:numId w:val="0"/>
        </w:numPr>
        <w:jc w:val="both"/>
        <w:rPr>
          <w:rFonts w:hint="eastAsia"/>
          <w:highlight w:val="none"/>
        </w:rPr>
      </w:pPr>
    </w:p>
    <w:p w14:paraId="1E7F888E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甲方（全称）：</w:t>
      </w:r>
    </w:p>
    <w:p w14:paraId="0F577177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乙方（全称）：</w:t>
      </w:r>
    </w:p>
    <w:p w14:paraId="16DD2C25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依据《中华人民共和国民法典》、《中华人民共和国政府采购法》等有关的法律法规，以及本采购项目的招标文件、乙方的《投标文件》及《中标（成交）通知书》，甲乙双方同意签订本合同。具体情况及要求如下：</w:t>
      </w:r>
    </w:p>
    <w:p w14:paraId="274F0A7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一、合同内容</w:t>
      </w:r>
    </w:p>
    <w:tbl>
      <w:tblPr>
        <w:tblStyle w:val="5"/>
        <w:tblW w:w="4996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9"/>
        <w:gridCol w:w="1092"/>
        <w:gridCol w:w="795"/>
        <w:gridCol w:w="1066"/>
        <w:gridCol w:w="820"/>
        <w:gridCol w:w="1440"/>
        <w:gridCol w:w="943"/>
        <w:gridCol w:w="944"/>
      </w:tblGrid>
      <w:tr w14:paraId="24232E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exac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0FEA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品目名称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FA40D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品牌/商标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4EE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规格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8C7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产地/生产商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F38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8711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单价（元）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305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总价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0CD1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 w14:paraId="5EDD8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exac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8128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F769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B2E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089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342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AE7C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C33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0A327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D349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F46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4E3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8C38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28E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B2E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F1B7E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C8F3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E5ED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7A5A6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二、配送周期及配送地点</w:t>
      </w:r>
    </w:p>
    <w:p w14:paraId="6AFA2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配送周期：</w:t>
      </w:r>
    </w:p>
    <w:p w14:paraId="1344F2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配送地点：</w:t>
      </w:r>
    </w:p>
    <w:p w14:paraId="2ACC2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配送方式：乙方应单独组织专业配送人员及专用车辆对货物进行统一配送。货物配送必须一次性到位，不得中转。货物配送必须是乙方直接进行配送，不得采取委托、承包、转让、转包给其他公司、区域代理商或者个人进行配送，配送车辆必须采取密闭车辆，并经甲方审验后方可进行配送。</w:t>
      </w:r>
    </w:p>
    <w:p w14:paraId="18ABC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三、合同价款及支付</w:t>
      </w:r>
    </w:p>
    <w:p w14:paraId="62C3F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调价机制</w:t>
      </w:r>
      <w:r>
        <w:rPr>
          <w:rFonts w:hint="eastAsia" w:ascii="宋体" w:hAnsi="宋体" w:cs="宋体"/>
          <w:sz w:val="21"/>
          <w:szCs w:val="21"/>
          <w:lang w:eastAsia="zh-CN"/>
        </w:rPr>
        <w:t>：</w:t>
      </w:r>
    </w:p>
    <w:p w14:paraId="00BF6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（1）第1包、2包调价机制：由于国家政策调整或市场价格浮动超过±10%时，经采购人同意后启动询价机制，进行价格调整。</w:t>
      </w:r>
    </w:p>
    <w:p w14:paraId="570966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（2）第5、6、7、8、9、10包：单价参照韩城市人民政府官网-重要商品价格监测，韩城市发展和改革委员会发布的韩城市18种重要商品零售价格周监测报表的平均价格下浮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%(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百分之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)。合同执行过程中，运用调价机制，每月末参照韩城市人民政府官网-重要商品价格监测，韩城市发展和改革委员会发布的韩城市18种重要商品零售价格周监测报表的平均价格确定下月产品单价。</w:t>
      </w:r>
      <w:bookmarkStart w:id="3" w:name="_GoBack"/>
      <w:bookmarkEnd w:id="3"/>
    </w:p>
    <w:p w14:paraId="6E678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2.付款计划：</w:t>
      </w:r>
    </w:p>
    <w:p w14:paraId="20075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（1）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每月15日由供应商统计上月实际供货数量并报采购人审核后支付（一次性支付上一个月的货款），付款前供应商应向采购人提供等额发票。</w:t>
      </w:r>
    </w:p>
    <w:p w14:paraId="689D2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（2）支付方式：银行转账。</w:t>
      </w:r>
    </w:p>
    <w:p w14:paraId="02782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四、包装、运输、验收要求</w:t>
      </w:r>
    </w:p>
    <w:p w14:paraId="0A816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1.乙方提供的全部货物，均应按标准保护措施进行包装。这类包装应适应于远距离运输、防潮、防震和防野蛮装卸，以确保货物安全、完整到达使用地点。</w:t>
      </w:r>
    </w:p>
    <w:p w14:paraId="3C68F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2.每一个包装箱内应附一份详细装箱单和质量合格证。</w:t>
      </w:r>
    </w:p>
    <w:p w14:paraId="55ECE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3.运杂费用包含在总价内，包括货物从出发地点到使用地点的运输费、仓储费、保险费、搬运费等。</w:t>
      </w:r>
    </w:p>
    <w:p w14:paraId="7C130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4.乙方在按相关规定送货到位后，甲方应及时配合配送人员接货，并对合同指定的产品进行验收，对破包、涨包、过期、漏包、受污染的产品拒绝接收。</w:t>
      </w:r>
    </w:p>
    <w:p w14:paraId="21032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5.所有货物在运输、搬运的过程中，造成甲方损失的，由乙方为甲方免费更换。</w:t>
      </w:r>
    </w:p>
    <w:p w14:paraId="4E097A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学校成立由2人以上组成的验收小组，按照合同约定开展验收工作。验收时，建立采购验收台账，列明到货品目、数量质量、生产日期等情况，由验收双方共同签署并留存验收证明。严格落实复秤工作机制并如实记录。具体如下：</w:t>
      </w:r>
    </w:p>
    <w:p w14:paraId="02FAC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.1.严格规范大宗食材进货查验，建立“双人或多人联检”查验制度，查验人员至少包含学校食品安全员和食堂管理人员，集体验收，公开透明，有条件的学校应保留影像资料，清晰详实记录进货查验情况。</w:t>
      </w:r>
    </w:p>
    <w:p w14:paraId="26068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.2. 食材进校验收应综合运用“望、闻、问、切”等多种方式，核对重量，核对生产日期和保质期，重点核查以下事项，核对包装完整性，核对食材一致性；查看食材色泽、形态；确认食材是否有异味。</w:t>
      </w:r>
    </w:p>
    <w:p w14:paraId="259EF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.3. 采购原材料应索取产品合格证以及同批次检验（测）报告。采购畜禽肉类时，需具备动物产品检疫合格证明，猪肉还需附有非洲猪瘟检测证明、肉品品质检验合格证明；大米应具备镉、黄曲霉毒素等指标的检测报告。</w:t>
      </w:r>
    </w:p>
    <w:p w14:paraId="2CD83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.4. 进货查验记录和相关凭证的保存期限不少于产品保质期满后6个月；无明确保质期的，保存期限不少于2年。其他各项记录保存期限宜为2年。</w:t>
      </w:r>
    </w:p>
    <w:p w14:paraId="011B0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.验收依据：</w:t>
      </w:r>
      <w:r>
        <w:rPr>
          <w:rFonts w:hint="eastAsia" w:ascii="宋体" w:hAnsi="宋体" w:eastAsia="宋体" w:cs="宋体"/>
          <w:lang w:val="en-US" w:eastAsia="zh-CN"/>
        </w:rPr>
        <w:t>合同文本、合同附件、招标文件、投标文件、国内相应的标准、规范。</w:t>
      </w:r>
    </w:p>
    <w:p w14:paraId="1AD90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8</w:t>
      </w:r>
      <w:r>
        <w:rPr>
          <w:rFonts w:hint="eastAsia" w:ascii="宋体" w:hAnsi="宋体" w:eastAsia="宋体" w:cs="宋体"/>
          <w:lang w:val="en-US" w:eastAsia="zh-CN"/>
        </w:rPr>
        <w:t>.成交供应商对最终的产品质量负完全责任。</w:t>
      </w:r>
    </w:p>
    <w:p w14:paraId="4F996C4C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五、质量保证</w:t>
      </w:r>
    </w:p>
    <w:p w14:paraId="59FB8234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供应商严格按照招标文件要求及投标文件承诺履行合同。原材料应提供产品合格证以及同批次检验（测）报告。畜禽肉类需具备动物产品检疫合格证明，猪肉还需附有非洲猪瘟检测证明、肉品品质检验合格证明；大米应具备镉、黄曲霉毒素等指标的检测报告。 </w:t>
      </w:r>
    </w:p>
    <w:p w14:paraId="2DAC57A0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进货查验记录和相关凭证的保存期限不少于产品保质期满后6个月；无明确保质期的，保存期限不少于2年。其他各项记录保存期限宜为2年 </w:t>
      </w:r>
    </w:p>
    <w:p w14:paraId="3F791DD6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因运输装卸过程中造成的损耗(例如包装严重变形、破损，食品污损、变异等)，发现的破损、变异食品必须无条件更换。</w:t>
      </w:r>
    </w:p>
    <w:p w14:paraId="0FEC2CC1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所投食品质量必须符合国家有关规范和相关政策，质量优良、渠道正当。</w:t>
      </w:r>
    </w:p>
    <w:p w14:paraId="1BBFA833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凡成交商品或品牌出现重大安全事故或严重的社会不良影响，采购方有权停止该商品或品牌在本项目中供应。</w:t>
      </w:r>
    </w:p>
    <w:p w14:paraId="125CF3E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六、双方权利义务</w:t>
      </w:r>
    </w:p>
    <w:p w14:paraId="4E18ADCD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（一）甲方的权利和义务</w:t>
      </w:r>
    </w:p>
    <w:p w14:paraId="442BF4C0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甲方有权随机从乙方配送的产品中抽取一部分，由甲方选定具备检验资质的检验机构进行检验、检测，检验费用由乙方承担（已含在报价中），对于检验不合格的现象，甲方有权直接终止合同，并向乙方提出索赔。</w:t>
      </w:r>
    </w:p>
    <w:p w14:paraId="5B7F23E2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2．甲方有权依据双方签订的考评办法对乙方提供的服务进行定期考评。</w:t>
      </w:r>
    </w:p>
    <w:p w14:paraId="1C2C5D72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3．负责检查监督乙方管理工作的实施及制度的执行情况。</w:t>
      </w:r>
    </w:p>
    <w:p w14:paraId="7DCAC707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4．根据本合同规定，按时向乙方支付应付服务费用。</w:t>
      </w:r>
    </w:p>
    <w:p w14:paraId="34FC58EE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．国家法律、法规所规定由甲方承担的其它责任。</w:t>
      </w:r>
    </w:p>
    <w:p w14:paraId="561B7C0D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（二）乙方的权利和义务</w:t>
      </w:r>
    </w:p>
    <w:p w14:paraId="529ED226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．根据本合同的规定向甲方收取相关费用，并有权在本项目管理范围内管理及合理使用。</w:t>
      </w:r>
    </w:p>
    <w:p w14:paraId="0BEFD7A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．及时向甲方通告本项目服务范围内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</w:rPr>
        <w:t>重大事项，及时配合处理投诉。</w:t>
      </w:r>
    </w:p>
    <w:p w14:paraId="6785C94B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．接受项目行业管理部门及政府有关部门的指导，接受甲方的监督。</w:t>
      </w:r>
    </w:p>
    <w:p w14:paraId="2C9D5176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．国家法律、法规所规定由乙方承担的其它责任。</w:t>
      </w:r>
    </w:p>
    <w:p w14:paraId="0D65620C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七、违约及索赔</w:t>
      </w:r>
    </w:p>
    <w:p w14:paraId="55DE65ED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1．甲乙双方必须遵守本合同并执行合同中的各项规定，保证本合同的正常履行。</w:t>
      </w:r>
    </w:p>
    <w:p w14:paraId="292091DF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．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774E230A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八、不可抗力</w:t>
      </w:r>
    </w:p>
    <w:p w14:paraId="41709D21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1．在合同有效期内，任何一方因不可抗力事件导致不能履行合同，则合同履行期可延长，其延长期与不可抗力影响期相同。</w:t>
      </w:r>
    </w:p>
    <w:p w14:paraId="2D1CD320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2．不可抗力事件发生后，应立即通知对方，并寄送有关权威机构出具的证明。</w:t>
      </w:r>
    </w:p>
    <w:p w14:paraId="0CA02BBA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3．不可抗力事件延续15个日历日以上，双方应通过友好协商确定是否继续履行合同。</w:t>
      </w:r>
    </w:p>
    <w:p w14:paraId="54BFF33C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九</w:t>
      </w:r>
      <w:r>
        <w:rPr>
          <w:rFonts w:hint="eastAsia" w:ascii="宋体" w:hAnsi="宋体" w:eastAsia="宋体" w:cs="宋体"/>
          <w:sz w:val="21"/>
          <w:szCs w:val="21"/>
        </w:rPr>
        <w:t>、争议解决方式</w:t>
      </w:r>
    </w:p>
    <w:p w14:paraId="5D8FA0A2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因执行本合同所发生的或与本合同有关的一切争议,双方应通过友好协商解决，协商不成的可依法向甲方所在地人民法院起诉。</w:t>
      </w:r>
    </w:p>
    <w:p w14:paraId="1546988A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合同生效及其他</w:t>
      </w:r>
    </w:p>
    <w:p w14:paraId="6E2E6D17">
      <w:pPr>
        <w:keepNext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both"/>
        <w:textAlignment w:val="baseline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1．合同经双方法定代表人（单位负责人）或授权委托代理人签名并加盖单位公章后生效。</w:t>
      </w:r>
    </w:p>
    <w:p w14:paraId="56844A56">
      <w:pPr>
        <w:keepNext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both"/>
        <w:textAlignment w:val="baseline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2．合同执行中涉及采购资金和采购内容修改或补充的，须经政府采购监管部门审批，并签书面补充协议报政府采购监督管理部门备案，方可作为主合同不可分割的一部分。</w:t>
      </w:r>
    </w:p>
    <w:p w14:paraId="02406D0E">
      <w:pPr>
        <w:keepNext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both"/>
        <w:textAlignment w:val="baseline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3．本合同一式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份，自双方签章之日起起效。甲方份乙方份，具有同等法律效力。</w:t>
      </w:r>
    </w:p>
    <w:p w14:paraId="42CD6FE7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十一、附件</w:t>
      </w:r>
    </w:p>
    <w:p w14:paraId="2302B924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1．项目招标文件</w:t>
      </w:r>
    </w:p>
    <w:p w14:paraId="3D659807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2．项目修改澄清文件</w:t>
      </w:r>
    </w:p>
    <w:p w14:paraId="2BDF2664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3．项目投标文件</w:t>
      </w:r>
    </w:p>
    <w:p w14:paraId="149DBFFD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4．成交通知书</w:t>
      </w:r>
    </w:p>
    <w:p w14:paraId="5AC475FC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5．其他</w:t>
      </w:r>
    </w:p>
    <w:tbl>
      <w:tblPr>
        <w:tblStyle w:val="6"/>
        <w:tblW w:w="8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2487"/>
        <w:gridCol w:w="2013"/>
        <w:gridCol w:w="2421"/>
      </w:tblGrid>
      <w:tr w14:paraId="0FA32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47" w:type="dxa"/>
            <w:noWrap w:val="0"/>
            <w:vAlign w:val="center"/>
          </w:tcPr>
          <w:p w14:paraId="63C6F4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甲方</w:t>
            </w:r>
          </w:p>
          <w:p w14:paraId="584CE6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（盖章）：</w:t>
            </w:r>
          </w:p>
        </w:tc>
        <w:tc>
          <w:tcPr>
            <w:tcW w:w="2487" w:type="dxa"/>
            <w:noWrap w:val="0"/>
            <w:vAlign w:val="center"/>
          </w:tcPr>
          <w:p w14:paraId="712FB5D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center"/>
          </w:tcPr>
          <w:p w14:paraId="53C414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乙方</w:t>
            </w:r>
          </w:p>
          <w:p w14:paraId="121DDDF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（盖章）：</w:t>
            </w:r>
          </w:p>
        </w:tc>
        <w:tc>
          <w:tcPr>
            <w:tcW w:w="2421" w:type="dxa"/>
            <w:noWrap w:val="0"/>
            <w:vAlign w:val="center"/>
          </w:tcPr>
          <w:p w14:paraId="023494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9630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47" w:type="dxa"/>
            <w:noWrap w:val="0"/>
            <w:vAlign w:val="center"/>
          </w:tcPr>
          <w:p w14:paraId="22FA0B7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法定代表人</w:t>
            </w:r>
          </w:p>
          <w:p w14:paraId="78CE31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（委托代理人）：</w:t>
            </w:r>
          </w:p>
        </w:tc>
        <w:tc>
          <w:tcPr>
            <w:tcW w:w="2487" w:type="dxa"/>
            <w:noWrap w:val="0"/>
            <w:vAlign w:val="center"/>
          </w:tcPr>
          <w:p w14:paraId="4E36A67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center"/>
          </w:tcPr>
          <w:p w14:paraId="047278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法定代表人</w:t>
            </w:r>
          </w:p>
          <w:p w14:paraId="506BBB5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（委托代理人）：</w:t>
            </w:r>
          </w:p>
        </w:tc>
        <w:tc>
          <w:tcPr>
            <w:tcW w:w="2421" w:type="dxa"/>
            <w:noWrap w:val="0"/>
            <w:vAlign w:val="center"/>
          </w:tcPr>
          <w:p w14:paraId="0DD67D0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C2BD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47" w:type="dxa"/>
            <w:noWrap w:val="0"/>
            <w:vAlign w:val="center"/>
          </w:tcPr>
          <w:p w14:paraId="062F13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地址：</w:t>
            </w:r>
          </w:p>
        </w:tc>
        <w:tc>
          <w:tcPr>
            <w:tcW w:w="2487" w:type="dxa"/>
            <w:noWrap w:val="0"/>
            <w:vAlign w:val="center"/>
          </w:tcPr>
          <w:p w14:paraId="5338819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center"/>
          </w:tcPr>
          <w:p w14:paraId="723478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地址：</w:t>
            </w:r>
          </w:p>
        </w:tc>
        <w:tc>
          <w:tcPr>
            <w:tcW w:w="2421" w:type="dxa"/>
            <w:noWrap w:val="0"/>
            <w:vAlign w:val="center"/>
          </w:tcPr>
          <w:p w14:paraId="3E316B4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0D92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47" w:type="dxa"/>
            <w:noWrap w:val="0"/>
            <w:vAlign w:val="center"/>
          </w:tcPr>
          <w:p w14:paraId="6DDBF96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社会信用代码：</w:t>
            </w:r>
          </w:p>
        </w:tc>
        <w:tc>
          <w:tcPr>
            <w:tcW w:w="2487" w:type="dxa"/>
            <w:noWrap w:val="0"/>
            <w:vAlign w:val="center"/>
          </w:tcPr>
          <w:p w14:paraId="0A1F72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center"/>
          </w:tcPr>
          <w:p w14:paraId="54EDF9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社会信用代码：</w:t>
            </w:r>
          </w:p>
        </w:tc>
        <w:tc>
          <w:tcPr>
            <w:tcW w:w="2421" w:type="dxa"/>
            <w:noWrap w:val="0"/>
            <w:vAlign w:val="center"/>
          </w:tcPr>
          <w:p w14:paraId="589A3B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9952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47" w:type="dxa"/>
            <w:noWrap w:val="0"/>
            <w:vAlign w:val="center"/>
          </w:tcPr>
          <w:p w14:paraId="6B415DE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开户银行：</w:t>
            </w:r>
          </w:p>
        </w:tc>
        <w:tc>
          <w:tcPr>
            <w:tcW w:w="2487" w:type="dxa"/>
            <w:noWrap w:val="0"/>
            <w:vAlign w:val="center"/>
          </w:tcPr>
          <w:p w14:paraId="35D7C22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center"/>
          </w:tcPr>
          <w:p w14:paraId="5A2DB42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开户银行：</w:t>
            </w:r>
          </w:p>
        </w:tc>
        <w:tc>
          <w:tcPr>
            <w:tcW w:w="2421" w:type="dxa"/>
            <w:noWrap w:val="0"/>
            <w:vAlign w:val="center"/>
          </w:tcPr>
          <w:p w14:paraId="677A54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FE9B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47" w:type="dxa"/>
            <w:noWrap w:val="0"/>
            <w:vAlign w:val="center"/>
          </w:tcPr>
          <w:p w14:paraId="54851DD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银行帐号：</w:t>
            </w:r>
          </w:p>
        </w:tc>
        <w:tc>
          <w:tcPr>
            <w:tcW w:w="2487" w:type="dxa"/>
            <w:noWrap w:val="0"/>
            <w:vAlign w:val="center"/>
          </w:tcPr>
          <w:p w14:paraId="45F65B9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center"/>
          </w:tcPr>
          <w:p w14:paraId="5BBDE5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银行帐号：</w:t>
            </w:r>
          </w:p>
        </w:tc>
        <w:tc>
          <w:tcPr>
            <w:tcW w:w="2421" w:type="dxa"/>
            <w:noWrap w:val="0"/>
            <w:vAlign w:val="center"/>
          </w:tcPr>
          <w:p w14:paraId="0D04B5D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D5D5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47" w:type="dxa"/>
            <w:noWrap w:val="0"/>
            <w:vAlign w:val="center"/>
          </w:tcPr>
          <w:p w14:paraId="7479113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电话：</w:t>
            </w:r>
          </w:p>
        </w:tc>
        <w:tc>
          <w:tcPr>
            <w:tcW w:w="2487" w:type="dxa"/>
            <w:noWrap w:val="0"/>
            <w:vAlign w:val="center"/>
          </w:tcPr>
          <w:p w14:paraId="643BFDC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center"/>
          </w:tcPr>
          <w:p w14:paraId="15A100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电话：</w:t>
            </w:r>
          </w:p>
        </w:tc>
        <w:tc>
          <w:tcPr>
            <w:tcW w:w="2421" w:type="dxa"/>
            <w:noWrap w:val="0"/>
            <w:vAlign w:val="center"/>
          </w:tcPr>
          <w:p w14:paraId="17A69B3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F4A0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47" w:type="dxa"/>
            <w:noWrap w:val="0"/>
            <w:vAlign w:val="center"/>
          </w:tcPr>
          <w:p w14:paraId="1495E9D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邮箱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：</w:t>
            </w:r>
          </w:p>
        </w:tc>
        <w:tc>
          <w:tcPr>
            <w:tcW w:w="2487" w:type="dxa"/>
            <w:noWrap w:val="0"/>
            <w:vAlign w:val="center"/>
          </w:tcPr>
          <w:p w14:paraId="5D9B61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center"/>
          </w:tcPr>
          <w:p w14:paraId="1229738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邮箱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：</w:t>
            </w:r>
          </w:p>
        </w:tc>
        <w:tc>
          <w:tcPr>
            <w:tcW w:w="2421" w:type="dxa"/>
            <w:noWrap w:val="0"/>
            <w:vAlign w:val="center"/>
          </w:tcPr>
          <w:p w14:paraId="53532A9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6344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47" w:type="dxa"/>
            <w:noWrap w:val="0"/>
            <w:vAlign w:val="center"/>
          </w:tcPr>
          <w:p w14:paraId="73DA431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签约日期：</w:t>
            </w:r>
          </w:p>
        </w:tc>
        <w:tc>
          <w:tcPr>
            <w:tcW w:w="2487" w:type="dxa"/>
            <w:noWrap w:val="0"/>
            <w:vAlign w:val="center"/>
          </w:tcPr>
          <w:p w14:paraId="06F62E7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年月日</w:t>
            </w:r>
          </w:p>
        </w:tc>
        <w:tc>
          <w:tcPr>
            <w:tcW w:w="2013" w:type="dxa"/>
            <w:noWrap w:val="0"/>
            <w:vAlign w:val="center"/>
          </w:tcPr>
          <w:p w14:paraId="75F20A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签约日期：</w:t>
            </w:r>
          </w:p>
        </w:tc>
        <w:tc>
          <w:tcPr>
            <w:tcW w:w="2421" w:type="dxa"/>
            <w:noWrap w:val="0"/>
            <w:vAlign w:val="center"/>
          </w:tcPr>
          <w:p w14:paraId="0982565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年月日</w:t>
            </w:r>
          </w:p>
        </w:tc>
      </w:tr>
    </w:tbl>
    <w:p w14:paraId="5E01D8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C52C3"/>
    <w:rsid w:val="0A4F320E"/>
    <w:rsid w:val="111E393A"/>
    <w:rsid w:val="2CFC5020"/>
    <w:rsid w:val="3A4A0D3B"/>
    <w:rsid w:val="43BF2BD7"/>
    <w:rsid w:val="53E977FC"/>
    <w:rsid w:val="5B303F63"/>
    <w:rsid w:val="5D1F428F"/>
    <w:rsid w:val="5FC5111D"/>
    <w:rsid w:val="6A7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Times New Roman" w:hAnsi="Times New Roman" w:eastAsia="宋体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2025-07-23T07:47:26Z</dcterms:created>
  <dc:creator>X</dc:creator>
  <cp:lastModifiedBy>Mr.Xu</cp:lastModifiedBy>
  <dcterms:modified xsi:type="dcterms:W3CDTF">2025-07-23T07:57:43Z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3DE81699B9AF4736B91837CD152A6BCA_12</vt:lpwstr>
  </property>
</Properties>
</file>