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版本号：HRC-ZBDL-2025-0127820250901002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韩城市西庄中学2025年暑期提升改造项目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HRC-ZBDL-2025-01278</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韩城市西庄中学2025年暑期提升改造项目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HRC-ZBDL-2025-01278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韩城市西庄中学2025年暑期提升改造项目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韩城市西庄中学2025年暑期提升改造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采购包1（韩城市西庄中学2025年暑期提升改造项目）：属于专门面向中小企业采购。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9、拟派项目经理：拟派项目经理应具备建筑工程专业二级以上（含二级）建造师执业资格和有效的安全生产考核合格证书，且未担任其他在建工程项目的项目经理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冯延平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17730631477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采购包1：1,008,728.93元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联系人：冯延平</w:t>
      </w:r>
    </w:p>
    <w:p>
      <w:pPr>
        <w:pStyle w:val="null3"/>
      </w:pPr>
      <w:r>
        <w:rPr>
          <w:rFonts w:ascii="仿宋_GB2312" w:hAnsi="仿宋_GB2312" w:cs="仿宋_GB2312" w:eastAsia="仿宋_GB2312"/>
        </w:rPr>
        <w:t>联系电话：17730631477</w:t>
      </w:r>
    </w:p>
    <w:p>
      <w:pPr>
        <w:pStyle w:val="null3"/>
      </w:pPr>
      <w:r>
        <w:rPr>
          <w:rFonts w:ascii="仿宋_GB2312" w:hAnsi="仿宋_GB2312" w:cs="仿宋_GB2312" w:eastAsia="仿宋_GB2312"/>
        </w:rPr>
        <w:t>地址：陕西省西安市曲江新区雁翔路3269号旺座曲江E座29层2901号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1,008,728.93</w:t>
      </w:r>
    </w:p>
    <w:p>
      <w:pPr>
        <w:pStyle w:val="null3"/>
      </w:pPr>
      <w:r>
        <w:rPr>
          <w:rFonts w:ascii="仿宋_GB2312" w:hAnsi="仿宋_GB2312" w:cs="仿宋_GB2312" w:eastAsia="仿宋_GB2312"/>
        </w:rPr>
        <w:t>采购包最高限价（元）: 1,008,728.93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1,008,728.93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2"/>
            </w:pPr>
            <w:r>
              <w:rPr>
                <w:rFonts w:ascii="仿宋_GB2312" w:hAnsi="仿宋_GB2312" w:cs="仿宋_GB2312" w:eastAsia="仿宋_GB2312"/>
                <w:sz w:val="21"/>
                <w:b/>
              </w:rPr>
              <w:t>一、项目概况</w:t>
            </w:r>
          </w:p>
          <w:p>
            <w:pPr>
              <w:pStyle w:val="null3"/>
              <w:spacing w:after="195"/>
              <w:ind w:firstLine="420"/>
            </w:pPr>
            <w:r>
              <w:rPr>
                <w:rFonts w:ascii="仿宋_GB2312" w:hAnsi="仿宋_GB2312" w:cs="仿宋_GB2312" w:eastAsia="仿宋_GB2312"/>
                <w:sz w:val="21"/>
              </w:rPr>
              <w:t>1.采购内容：韩城市西庄中学2025年暑期提升改造项目磋商文件、工程量清单及施工图等范围内的全部内容。</w:t>
            </w:r>
          </w:p>
          <w:p>
            <w:pPr>
              <w:pStyle w:val="null3"/>
              <w:spacing w:after="195"/>
              <w:ind w:firstLine="420"/>
            </w:pPr>
            <w:r>
              <w:rPr>
                <w:rFonts w:ascii="仿宋_GB2312" w:hAnsi="仿宋_GB2312" w:cs="仿宋_GB2312" w:eastAsia="仿宋_GB2312"/>
                <w:sz w:val="21"/>
              </w:rPr>
              <w:t>2.项目实施地点：</w:t>
            </w:r>
            <w:r>
              <w:rPr>
                <w:rFonts w:ascii="仿宋_GB2312" w:hAnsi="仿宋_GB2312" w:cs="仿宋_GB2312" w:eastAsia="仿宋_GB2312"/>
                <w:sz w:val="21"/>
              </w:rPr>
              <w:t>韩城市西庄中学</w:t>
            </w:r>
            <w:r>
              <w:rPr>
                <w:rFonts w:ascii="仿宋_GB2312" w:hAnsi="仿宋_GB2312" w:cs="仿宋_GB2312" w:eastAsia="仿宋_GB2312"/>
                <w:sz w:val="21"/>
              </w:rPr>
              <w:t>。</w:t>
            </w:r>
          </w:p>
          <w:p>
            <w:pPr>
              <w:pStyle w:val="null3"/>
              <w:spacing w:after="195"/>
              <w:ind w:firstLine="420"/>
            </w:pPr>
            <w:r>
              <w:rPr>
                <w:rFonts w:ascii="仿宋_GB2312" w:hAnsi="仿宋_GB2312" w:cs="仿宋_GB2312" w:eastAsia="仿宋_GB2312"/>
                <w:sz w:val="21"/>
              </w:rPr>
              <w:t>3.工程条件：现场具备施工条件。材料、设备全部由施工方自行采购。水电设施齐全。</w:t>
            </w:r>
          </w:p>
          <w:p>
            <w:pPr>
              <w:pStyle w:val="null3"/>
              <w:spacing w:after="195"/>
              <w:ind w:firstLine="420"/>
            </w:pPr>
            <w:r>
              <w:rPr>
                <w:rFonts w:ascii="仿宋_GB2312" w:hAnsi="仿宋_GB2312" w:cs="仿宋_GB2312" w:eastAsia="仿宋_GB2312"/>
                <w:sz w:val="21"/>
              </w:rPr>
              <w:t>4.项目实施及合同签订单位：</w:t>
            </w:r>
            <w:r>
              <w:rPr>
                <w:rFonts w:ascii="仿宋_GB2312" w:hAnsi="仿宋_GB2312" w:cs="仿宋_GB2312" w:eastAsia="仿宋_GB2312"/>
                <w:sz w:val="21"/>
              </w:rPr>
              <w:t>韩城市西庄中学</w:t>
            </w:r>
            <w:r>
              <w:rPr>
                <w:rFonts w:ascii="仿宋_GB2312" w:hAnsi="仿宋_GB2312" w:cs="仿宋_GB2312" w:eastAsia="仿宋_GB2312"/>
                <w:sz w:val="21"/>
              </w:rPr>
              <w:t>。</w:t>
            </w:r>
          </w:p>
          <w:p>
            <w:pPr>
              <w:pStyle w:val="null3"/>
              <w:spacing w:after="195"/>
              <w:ind w:firstLine="422"/>
            </w:pPr>
            <w:r>
              <w:rPr>
                <w:rFonts w:ascii="仿宋_GB2312" w:hAnsi="仿宋_GB2312" w:cs="仿宋_GB2312" w:eastAsia="仿宋_GB2312"/>
                <w:sz w:val="21"/>
                <w:b/>
              </w:rPr>
              <w:t>二、工程量清单（详见附件）</w:t>
            </w:r>
          </w:p>
          <w:p>
            <w:pPr>
              <w:pStyle w:val="null3"/>
              <w:spacing w:after="195"/>
              <w:ind w:firstLine="422"/>
            </w:pPr>
            <w:r>
              <w:rPr>
                <w:rFonts w:ascii="仿宋_GB2312" w:hAnsi="仿宋_GB2312" w:cs="仿宋_GB2312" w:eastAsia="仿宋_GB2312"/>
                <w:sz w:val="21"/>
              </w:rPr>
              <w:t>广联达版本号 7.5000.23.1</w:t>
            </w:r>
          </w:p>
          <w:p>
            <w:pPr>
              <w:pStyle w:val="null3"/>
              <w:spacing w:after="195"/>
              <w:ind w:firstLine="422"/>
            </w:pPr>
            <w:r>
              <w:rPr>
                <w:rFonts w:ascii="仿宋_GB2312" w:hAnsi="仿宋_GB2312" w:cs="仿宋_GB2312" w:eastAsia="仿宋_GB2312"/>
                <w:sz w:val="21"/>
                <w:b/>
              </w:rPr>
              <w:t>三、项目实施要求及质量保证</w:t>
            </w:r>
          </w:p>
          <w:p>
            <w:pPr>
              <w:pStyle w:val="null3"/>
              <w:spacing w:after="195"/>
              <w:ind w:firstLine="420"/>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after="195"/>
              <w:ind w:firstLine="420"/>
            </w:pPr>
            <w:r>
              <w:rPr>
                <w:rFonts w:ascii="仿宋_GB2312" w:hAnsi="仿宋_GB2312" w:cs="仿宋_GB2312" w:eastAsia="仿宋_GB2312"/>
                <w:sz w:val="21"/>
              </w:rPr>
              <w:t>2、供应商根据工程实际情况编制施工方案，制定工期进度安排表。</w:t>
            </w:r>
          </w:p>
          <w:p>
            <w:pPr>
              <w:pStyle w:val="null3"/>
              <w:spacing w:after="195"/>
              <w:ind w:firstLine="420"/>
            </w:pPr>
            <w:r>
              <w:rPr>
                <w:rFonts w:ascii="仿宋_GB2312" w:hAnsi="仿宋_GB2312" w:cs="仿宋_GB2312" w:eastAsia="仿宋_GB2312"/>
                <w:sz w:val="21"/>
              </w:rPr>
              <w:t>3、供应商在本工程中的项目负责人（项目经理），要求技术水平高、组织能力强、有丰富的工程业绩和实践经验，懂管理、善于协调。施工人员中质检员、特殊工程人员要求有上岗证。施工队伍稳定，保证整个工程顺利完工。</w:t>
            </w:r>
          </w:p>
          <w:p>
            <w:pPr>
              <w:pStyle w:val="null3"/>
              <w:spacing w:after="195"/>
              <w:ind w:firstLine="420"/>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after="195"/>
              <w:ind w:firstLine="420"/>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after="195"/>
              <w:ind w:firstLine="420"/>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after="195"/>
              <w:ind w:firstLine="420"/>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after="195"/>
              <w:ind w:firstLine="420"/>
            </w:pPr>
            <w:r>
              <w:rPr>
                <w:rFonts w:ascii="仿宋_GB2312" w:hAnsi="仿宋_GB2312" w:cs="仿宋_GB2312" w:eastAsia="仿宋_GB2312"/>
                <w:sz w:val="21"/>
              </w:rPr>
              <w:t>8、选用的主材、设备、辅材应明确品牌、规格、型号、产地，对主要设备材料必须先提交样品，经认质后，方可订货，不得使用未经检验或不合格的设备、材料，若发生此种情况，将追究相关人员责任，并赔偿由此造成的一切经济损失。</w:t>
            </w:r>
          </w:p>
          <w:p>
            <w:pPr>
              <w:pStyle w:val="null3"/>
              <w:spacing w:after="195"/>
              <w:ind w:firstLine="420"/>
            </w:pPr>
            <w:r>
              <w:rPr>
                <w:rFonts w:ascii="仿宋_GB2312" w:hAnsi="仿宋_GB2312" w:cs="仿宋_GB2312" w:eastAsia="仿宋_GB2312"/>
                <w:sz w:val="21"/>
              </w:rPr>
              <w:t>9、所有施工人员需统一着装统一单位标识，严禁随意通行。</w:t>
            </w:r>
          </w:p>
          <w:p>
            <w:pPr>
              <w:pStyle w:val="null3"/>
              <w:spacing w:after="195"/>
              <w:ind w:firstLine="420"/>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11、工程质量保修期符合相关法律法规及行业规范。施工单位的售后服务要完善、可靠、及时，并派遣相关技术人员配合采购人检查、维修。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符合国家以及配套的相关工程质量验收规范的合格等级，并达到采购人质量要求和交付使用标准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一、商务要求 1、工期：合同签订之日起45日历日。 2、付款方式：工程完工并验收合格后支付合同总价的80%，通过审计后支付合同总价17%，剩余3%质保期满后一次性付清。 3、质量标准：符合国家以及配套的相关工程质量验收规范的合格等级，并达到采购人质量要求和交付使用标准。 4、质量保修期：符合《建设工程质量管理条例》等相关法律法规。 5、验收 履约验收的主体：采购人相关部门及人员形成验收小组。 验收程序：项目完成由供应商进行自检，自检合格后准备验收文件并提出验收申请，采购人同意后，采购人相关部门及人员形成验收小组，验收小组根据磋商文件、响应文件、合同等项目文件约定内容对项目进行综合验收。 验收标准：供应商要确保项目完成后符合国家相关标准，同时须符合磋商文件要求、响应文件承诺及合同的相关约定。 二、其他 1、磋商实行两轮报价。第一轮报价后，磋商小组可以根据项目实施情况调整采购需求，第二轮报价为最终报价。 2、纸质投标文件：成交供应商在领取成交通知书时提供一正两副纸质投标文件，及广联达正版云计价平台编制的电子投标文件（含组价的全部内容）（U盘存储）。装订：纸质投标文件采用书籍（胶装）方式装订成册，与电子投标文件一致的签字、盖章的完整版本。 3、代理服务费账号信息： 企业名称：华睿诚项目管理有限公司 银行账号：西安银行小寨东路支行816011580000101224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类似项目业绩一览表.docx 中小企业声明函 供应商声明.docx 技术服务合同条款及其他商务要求应答表 施工组织设计.docx 响应文件封面 供应商应提交的相关资格证明材料.docx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只能有一个有效报价，不得提交选择性报价，且报价不超过预算或最高限价金额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磋商响应文件内容不存在漏项或数量与要求不符合磋商文件规定情形，响应内容满足磋商文件的商务、技术等实质性要求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不存在其它不符合法律法规或磋商文件规定的响应无效条款的情形</w:t>
            </w:r>
          </w:p>
        </w:tc>
        <w:tc>
          <w:tcPr>
            <w:tcW w:type="dxa" w:w="1661"/>
          </w:tcPr>
          <w:p>
            <w:pPr>
              <w:pStyle w:val="null3"/>
            </w:pPr>
            <w:r>
              <w:rPr>
                <w:rFonts w:ascii="仿宋_GB2312" w:hAnsi="仿宋_GB2312" w:cs="仿宋_GB2312" w:eastAsia="仿宋_GB2312"/>
              </w:rPr>
              <w:t>供应商声明.docx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施工方案和方法相对合理和规范，有相对较强的可操作性得4分；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措施相对合理和规范，有相对较强的可操作性得4分；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完全满足项目需求得6分；项目经理和项目部组成配置较合理、针对性较强、能够满足项目需求的得4分；项目经理和项目部组成针对性一般、基本满足项目需求得2 分；项目经理和项目部组成较差得1分；未提供的不计分（附身份证等相关证件复印件并加盖供应商公章）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方案相对合理和规范，有相对较强的可操作性得4分；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结合本项目的实际，供应商应依据国家相关规定对工程质量编制保修方案：①工程验收方案②维修措施③保修责任及保修承诺。根据供应商方案进行评审，内容完整、合理、针对性强得 6分；内容较完整、合理、针对性较强得4分；内容不太完整，针对性一般得 2分；内容粗略，针对性较低得1分；未提供不计分。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提供供应商2022年1月至今的类似业绩合同，每提供一份得2分，最高得10分（提供合同的复印件并加盖供应商公章，合同以签订时间为准）。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满足磋商文件要求且磋商报价最低的报价为评标基准价，其价格分为满分。磋商报价得分=（评审基准价／磋商报价）×价格权值×100。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详见附件：供应商声明.docx</w:t>
      </w:r>
    </w:p>
    <w:p>
      <w:pPr>
        <w:pStyle w:val="null3"/>
        <w:ind w:firstLine="960"/>
      </w:pPr>
      <w:r>
        <w:rPr>
          <w:rFonts w:ascii="仿宋_GB2312" w:hAnsi="仿宋_GB2312" w:cs="仿宋_GB2312" w:eastAsia="仿宋_GB2312"/>
        </w:rPr>
        <w:t>详见附件：类似项目业绩一览表.docx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