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版本号：HXCT-2025-033号20250828001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韩城市金城区第三初级中学(象山小学分校)2025年暑期提升改造项目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HXCT-2025-033号</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韩城市金城区第三初级中学(象山小学分校)2025年暑期提升改造项目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HXCT-2025-033号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韩城市金城区第三初级中学(象山小学分校)2025年暑期提升改造项目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本工程为韩城市金城区第三初级中学(象山小学分校)2025年暑期提升改造项目。主要内容包括:教学楼、实验楼、食堂、卫生间、换热站、门卫室改造、室外电气等。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采购包1（韩城市新城区第二小学2025年暑期提升改造项目）：属于专门面向中小企业采购。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1、拟派项目经理：拟派项目经理应具备建筑工程专业二级以上（含二级）建造师执业资格和有效的安全生产考核合格证书，且未担任其他在建工程项目的项目经理</w:t>
      </w:r>
    </w:p>
    <w:p>
      <w:pPr>
        <w:pStyle w:val="null3"/>
      </w:pPr>
      <w:r>
        <w:rPr>
          <w:rFonts w:ascii="仿宋_GB2312" w:hAnsi="仿宋_GB2312" w:cs="仿宋_GB2312" w:eastAsia="仿宋_GB2312"/>
        </w:rPr>
        <w:t>2、有效的主体资格证明：具有独立承担民事责任能力的法人、其它组织或自然人，出具合法有效的营业执照等相关证明文件，自然人参与的提供其身份证明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3、资质：供应商应具备行政主管部门颁发的建筑工程施工总承包三级以上(含三级)资质，并具备有效的安全生产许可证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4、供应商授权合法的人员参加投标全过程：法定代表人直接参加投标，须提交法定代表人身份证明书和身份证。法定代表人授权代表参加投标的，须出具法定代表人授权书及法人和授权代表身份证及社保缴纳凭证</w:t>
      </w:r>
    </w:p>
    <w:p>
      <w:pPr>
        <w:pStyle w:val="null3"/>
      </w:pPr>
      <w:r>
        <w:rPr>
          <w:rFonts w:ascii="仿宋_GB2312" w:hAnsi="仿宋_GB2312" w:cs="仿宋_GB2312" w:eastAsia="仿宋_GB2312"/>
        </w:rPr>
        <w:t>5、财务状况报告：供应商提供2024年度的财务审计报告（至少包括资产负债表、利润表和现金流量表及财务状况说明），或其开标前三个月内基本存款账户开户银行出具的资信证明及基本存款账户开户许可证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韩城市西峙路与普照路十字德兴商务六楼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0913-5207458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采购包1：973,370.44元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联系电话：0913-5207458</w:t>
      </w:r>
    </w:p>
    <w:p>
      <w:pPr>
        <w:pStyle w:val="null3"/>
      </w:pPr>
      <w:r>
        <w:rPr>
          <w:rFonts w:ascii="仿宋_GB2312" w:hAnsi="仿宋_GB2312" w:cs="仿宋_GB2312" w:eastAsia="仿宋_GB2312"/>
        </w:rPr>
        <w:t>地址：韩城市西峙路与普照路十字德兴商务608室</w:t>
      </w:r>
    </w:p>
    <w:p>
      <w:pPr>
        <w:pStyle w:val="null3"/>
      </w:pPr>
      <w:r>
        <w:rPr>
          <w:rFonts w:ascii="仿宋_GB2312" w:hAnsi="仿宋_GB2312" w:cs="仿宋_GB2312" w:eastAsia="仿宋_GB2312"/>
        </w:rPr>
        <w:t>邮编：715400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973,370.44</w:t>
      </w:r>
    </w:p>
    <w:p>
      <w:pPr>
        <w:pStyle w:val="null3"/>
      </w:pPr>
      <w:r>
        <w:rPr>
          <w:rFonts w:ascii="仿宋_GB2312" w:hAnsi="仿宋_GB2312" w:cs="仿宋_GB2312" w:eastAsia="仿宋_GB2312"/>
        </w:rPr>
        <w:t>采购包最高限价（元）: 973,370.44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973,370.44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0"/>
            </w:pPr>
            <w:r>
              <w:rPr>
                <w:rFonts w:ascii="仿宋_GB2312" w:hAnsi="仿宋_GB2312" w:cs="仿宋_GB2312" w:eastAsia="仿宋_GB2312"/>
                <w:sz w:val="21"/>
              </w:rPr>
              <w:t>一、质量要求</w:t>
            </w:r>
          </w:p>
          <w:p>
            <w:pPr>
              <w:pStyle w:val="null3"/>
              <w:spacing w:before="105" w:after="150"/>
              <w:ind w:firstLine="420"/>
              <w:jc w:val="left"/>
            </w:pPr>
            <w:r>
              <w:rPr>
                <w:rFonts w:ascii="仿宋_GB2312" w:hAnsi="仿宋_GB2312" w:cs="仿宋_GB2312" w:eastAsia="仿宋_GB2312"/>
                <w:sz w:val="21"/>
              </w:rPr>
              <w:t>1.质量标准：符合国家以及配套的相关工程质量验收规范的合格等级，并达到采购人质量要求和交付使用标准。</w:t>
            </w:r>
          </w:p>
          <w:p>
            <w:pPr>
              <w:pStyle w:val="null3"/>
              <w:spacing w:before="105" w:after="105"/>
              <w:jc w:val="both"/>
            </w:pPr>
            <w:r>
              <w:rPr>
                <w:rFonts w:ascii="仿宋_GB2312" w:hAnsi="仿宋_GB2312" w:cs="仿宋_GB2312" w:eastAsia="仿宋_GB2312"/>
                <w:sz w:val="21"/>
              </w:rPr>
              <w:t xml:space="preserve">    </w:t>
            </w:r>
            <w:r>
              <w:rPr>
                <w:rFonts w:ascii="仿宋_GB2312" w:hAnsi="仿宋_GB2312" w:cs="仿宋_GB2312" w:eastAsia="仿宋_GB2312"/>
                <w:sz w:val="21"/>
              </w:rPr>
              <w:t>2.质量保修期：符合《建设工程质量管理条例》等相关法律法规。</w:t>
            </w:r>
          </w:p>
          <w:p>
            <w:pPr>
              <w:pStyle w:val="null3"/>
              <w:spacing w:before="105" w:after="150"/>
              <w:ind w:firstLine="420"/>
              <w:jc w:val="left"/>
            </w:pPr>
            <w:r>
              <w:rPr>
                <w:rFonts w:ascii="仿宋_GB2312" w:hAnsi="仿宋_GB2312" w:cs="仿宋_GB2312" w:eastAsia="仿宋_GB2312"/>
                <w:sz w:val="21"/>
              </w:rPr>
              <w:t>二、项目实施要求及质量保证</w:t>
            </w:r>
          </w:p>
          <w:p>
            <w:pPr>
              <w:pStyle w:val="null3"/>
              <w:spacing w:before="105" w:after="150"/>
              <w:ind w:firstLine="420"/>
              <w:jc w:val="left"/>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before="105" w:after="150"/>
              <w:ind w:firstLine="420"/>
              <w:jc w:val="left"/>
            </w:pPr>
            <w:r>
              <w:rPr>
                <w:rFonts w:ascii="仿宋_GB2312" w:hAnsi="仿宋_GB2312" w:cs="仿宋_GB2312" w:eastAsia="仿宋_GB2312"/>
                <w:sz w:val="21"/>
              </w:rPr>
              <w:t>2、供应商根据工程实际情况编制施工方案，制定工期进度安排表。</w:t>
            </w:r>
          </w:p>
          <w:p>
            <w:pPr>
              <w:pStyle w:val="null3"/>
              <w:spacing w:before="105" w:after="150"/>
              <w:ind w:firstLine="420"/>
              <w:jc w:val="left"/>
            </w:pPr>
            <w:r>
              <w:rPr>
                <w:rFonts w:ascii="仿宋_GB2312" w:hAnsi="仿宋_GB2312" w:cs="仿宋_GB2312" w:eastAsia="仿宋_GB2312"/>
                <w:sz w:val="21"/>
              </w:rPr>
              <w:t>3、供应商在本工程中的项目负责人（项目经理），要求技术水平高、组织能力强、有丰富的工程业绩和实践经验，懂管理、善于协调。施工队伍稳定，保证整个工程顺利完工。</w:t>
            </w:r>
          </w:p>
          <w:p>
            <w:pPr>
              <w:pStyle w:val="null3"/>
              <w:spacing w:before="105" w:after="150"/>
              <w:ind w:firstLine="420"/>
              <w:jc w:val="left"/>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before="105" w:after="150"/>
              <w:ind w:firstLine="420"/>
              <w:jc w:val="left"/>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before="105" w:after="150"/>
              <w:ind w:firstLine="420"/>
              <w:jc w:val="left"/>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before="105" w:after="150"/>
              <w:ind w:firstLine="420"/>
              <w:jc w:val="left"/>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before="105" w:after="150"/>
              <w:ind w:firstLine="420"/>
              <w:jc w:val="left"/>
            </w:pPr>
            <w:r>
              <w:rPr>
                <w:rFonts w:ascii="仿宋_GB2312" w:hAnsi="仿宋_GB2312" w:cs="仿宋_GB2312" w:eastAsia="仿宋_GB2312"/>
                <w:sz w:val="21"/>
              </w:rPr>
              <w:t>8、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50"/>
              <w:ind w:firstLine="420"/>
              <w:jc w:val="left"/>
            </w:pPr>
            <w:r>
              <w:rPr>
                <w:rFonts w:ascii="仿宋_GB2312" w:hAnsi="仿宋_GB2312" w:cs="仿宋_GB2312" w:eastAsia="仿宋_GB2312"/>
                <w:sz w:val="21"/>
              </w:rPr>
              <w:t>9、所有施工人员需统一着装统一单位标识，严禁随意通行。</w:t>
            </w:r>
          </w:p>
          <w:p>
            <w:pPr>
              <w:pStyle w:val="null3"/>
              <w:spacing w:before="105" w:after="150"/>
              <w:ind w:firstLine="420"/>
              <w:jc w:val="left"/>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11、工程质量保修期符合相关法律法规及行业规范。施工单位的售后服务要完善、可靠、及时，并派遣相关技术人员配合采购人检查、维修。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本项目实施单位、合同签订单</w:t>
            </w:r>
            <w:r>
              <w:rPr>
                <w:rFonts w:ascii="仿宋_GB2312" w:hAnsi="仿宋_GB2312" w:cs="仿宋_GB2312" w:eastAsia="仿宋_GB2312"/>
                <w:sz w:val="21"/>
              </w:rPr>
              <w:t>位为韩城市金城区第三初级中学(象山小学分校)</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1.清单编制：广联达版本号 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项目管理机构组成.docx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法定代表人直接参加投标，须提交法定代表人身份证明书和身份证。法定代表人授权代表参加投标的，须出具法定代表人授权书及法人和授权代表身份证及社保缴纳凭证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响应文件要求加盖单位公章及法定代表人或被授权委托人签字或盖章的地方均应加盖</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磋商报价表.docx 项目管理机构组成.docx 响应文件封面 供应商应提交的资格证明文件.docx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应满足竞争性磋商文件中要求的工期</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质量目标明确，有完善的质保体系，管理制度健全，质量保证体系运行机制合理、可行，过程控制检查（自检、互检、交接检）制度及落实措施合理可行。综合评定，得1-8分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安全目标明确，安全管理制度、组织机构健全；安全生产责任制度、教育培训制度及考核机制健全完善，责任到位；安全技术交底制度规范，有应对突发事件的应急措施。综合评定，得1-8分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总体施工方案科学、合理，可行、针对性强；专项施工方案、措施可行，有针对性。综合评定，得1-15分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项目管理机构及人员配备</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项目经理和项目部岗位、专业、分工组成科学、合理、完善、满足项目需求。项目经理和项目部组成配置合理、针对性强，能满足项目需求。综合评定，得1-9分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主要施工设备及测量、试验设备数量及规格配备计划合理；材料供应与物流组织计划合理、措施可行。综合评定，得1-8分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供应商近三年（2022年1月1日至今）具有类似项目业绩，一项得2分，最高6分。（需提供合同复印件或扫描件并加盖公章，时间以合同签订时间为准，无签订时间的无效）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详见附件：项目管理机构组成.docx</w:t>
      </w:r>
    </w:p>
    <w:p>
      <w:pPr>
        <w:pStyle w:val="null3"/>
        <w:ind w:firstLine="960"/>
      </w:pPr>
      <w:r>
        <w:rPr>
          <w:rFonts w:ascii="仿宋_GB2312" w:hAnsi="仿宋_GB2312" w:cs="仿宋_GB2312" w:eastAsia="仿宋_GB2312"/>
        </w:rPr>
        <w:t>详见附件：供应商应提交的资格证明文件.docx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