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版本号：JXZB2025-09-2220250912001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陕西省渭南市北部山脉森林火灾高风险区综合治理工程建设项目占用陕西韩城黄龙山褐马鸡国家级自然保护区生态影响评价报告编制项目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JXZB2025-09-22</w:t>
      </w:r>
      <w:r>
        <w:br/>
      </w:r>
      <w:r>
        <w:br/>
      </w:r>
      <w:r>
        <w:br/>
      </w:r>
    </w:p>
    <w:p>
      <w:pPr>
        <w:pStyle w:val="null3"/>
        <w:jc w:val="center"/>
        <w:outlineLvl w:val="2"/>
      </w:pPr>
      <w:r>
        <w:rPr>
          <w:rFonts w:ascii="仿宋_GB2312" w:hAnsi="仿宋_GB2312" w:cs="仿宋_GB2312" w:eastAsia="仿宋_GB2312"/>
          <w:sz w:val="28"/>
          <w:b/>
        </w:rPr>
        <w:t>韩城市林业局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韩城市林业局</w:t>
      </w:r>
      <w:r>
        <w:rPr>
          <w:rFonts w:ascii="仿宋_GB2312" w:hAnsi="仿宋_GB2312" w:cs="仿宋_GB2312" w:eastAsia="仿宋_GB2312"/>
        </w:rPr>
        <w:t>委托，拟对</w:t>
      </w:r>
      <w:r>
        <w:rPr>
          <w:rFonts w:ascii="仿宋_GB2312" w:hAnsi="仿宋_GB2312" w:cs="仿宋_GB2312" w:eastAsia="仿宋_GB2312"/>
        </w:rPr>
        <w:t>陕西省渭南市北部山脉森林火灾高风险区综合治理工程建设项目占用陕西韩城黄龙山褐马鸡国家级自然保护区生态影响评价报告编制项目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JXZB2025-09-22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陕西省渭南市北部山脉森林火灾高风险区综合治理工程建设项目占用陕西韩城黄龙山褐马鸡国家级自然保护区生态影响评价报告编制项目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陕西省渭南市北部山脉森林火灾高风险区综合治理工程建设项目占用陕西韩城黄龙山褐马鸡国家级自然保护区生态影响评价报告编制并取得批复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采购包1（陕西省渭南市北部山脉森林火灾高风险区综合治理工程建设项目占用陕西韩城黄龙山褐马鸡国家级自然保护区生态影响评价报告编制项目）：属于专门面向中小企业采购。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8、资质：供应商应具备林业调查规划设计丙级以上（含丙级）资质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韩城市新城区太史大街政府1号楼3楼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0913-5197815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韩城市林业局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陕西省渭南市北部山脉森林火灾高风险区综合治理工程建设项目占用陕西韩城黄龙山褐马鸡国家级自然保护区生态影响评价报告编制并取得批复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陕西省渭南市北部山脉森林火灾高风险区综合治理工程建设项目占用陕西韩城黄龙山褐马鸡国家级自然保护区生态影响评价报告编制项目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标的名称：陕西省渭南市北部山脉森林火灾高风险区综合治理工程建设项目占用陕西韩城黄龙山褐马鸡国家级自然保护区生态影响评价报告编制项目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pPr>
            <w:r>
              <w:rPr>
                <w:rFonts w:ascii="仿宋_GB2312" w:hAnsi="仿宋_GB2312" w:cs="仿宋_GB2312" w:eastAsia="仿宋_GB2312"/>
                <w:sz w:val="21"/>
                <w:b/>
              </w:rPr>
              <w:t>一、项目基本信息</w:t>
            </w:r>
          </w:p>
          <w:p>
            <w:pPr>
              <w:pStyle w:val="null3"/>
              <w:ind w:firstLine="420"/>
            </w:pPr>
            <w:r>
              <w:rPr>
                <w:rFonts w:ascii="仿宋_GB2312" w:hAnsi="仿宋_GB2312" w:cs="仿宋_GB2312" w:eastAsia="仿宋_GB2312"/>
                <w:sz w:val="21"/>
              </w:rPr>
              <w:t>项目名称：陕西省渭南市北部山脉森林火灾高风险区综合治理工程建设项目占用陕西韩城黄龙山褐马鸡国家级自然保护区生态影响评价报告编制项目。</w:t>
            </w:r>
          </w:p>
          <w:p>
            <w:pPr>
              <w:pStyle w:val="null3"/>
              <w:ind w:firstLine="422"/>
            </w:pPr>
            <w:r>
              <w:rPr>
                <w:rFonts w:ascii="仿宋_GB2312" w:hAnsi="仿宋_GB2312" w:cs="仿宋_GB2312" w:eastAsia="仿宋_GB2312"/>
                <w:sz w:val="21"/>
                <w:b/>
              </w:rPr>
              <w:t>二、服务内容</w:t>
            </w:r>
          </w:p>
          <w:p>
            <w:pPr>
              <w:pStyle w:val="null3"/>
              <w:ind w:firstLine="420"/>
            </w:pPr>
            <w:r>
              <w:rPr>
                <w:rFonts w:ascii="仿宋_GB2312" w:hAnsi="仿宋_GB2312" w:cs="仿宋_GB2312" w:eastAsia="仿宋_GB2312"/>
                <w:sz w:val="21"/>
              </w:rPr>
              <w:t>1、采购内容：陕西省渭南市北部山脉森林火灾高风险区综合治理工程建设项目占用陕西韩城黄龙山褐马鸡国家级自然保护区生态影响评价报告编制并取得批复。</w:t>
            </w:r>
          </w:p>
          <w:p>
            <w:pPr>
              <w:pStyle w:val="null3"/>
              <w:ind w:firstLine="420"/>
            </w:pPr>
            <w:r>
              <w:rPr>
                <w:rFonts w:ascii="仿宋_GB2312" w:hAnsi="仿宋_GB2312" w:cs="仿宋_GB2312" w:eastAsia="仿宋_GB2312"/>
                <w:sz w:val="21"/>
              </w:rPr>
              <w:t>2、服务要求：报告需全面、客观、科学地评估建设项目对自然保护区生物多样性的影响，提出切实可行的减缓措施，确保符合国家及地方有关自然保护区的法律法规和政策要求。</w:t>
            </w:r>
          </w:p>
          <w:p>
            <w:pPr>
              <w:pStyle w:val="null3"/>
              <w:ind w:firstLine="422"/>
            </w:pPr>
            <w:r>
              <w:rPr>
                <w:rFonts w:ascii="仿宋_GB2312" w:hAnsi="仿宋_GB2312" w:cs="仿宋_GB2312" w:eastAsia="仿宋_GB2312"/>
                <w:sz w:val="21"/>
                <w:b/>
              </w:rPr>
              <w:t>三、技术要求</w:t>
            </w:r>
          </w:p>
          <w:p>
            <w:pPr>
              <w:pStyle w:val="null3"/>
              <w:ind w:firstLine="420"/>
            </w:pPr>
            <w:r>
              <w:rPr>
                <w:rFonts w:ascii="仿宋_GB2312" w:hAnsi="仿宋_GB2312" w:cs="仿宋_GB2312" w:eastAsia="仿宋_GB2312"/>
                <w:sz w:val="21"/>
              </w:rPr>
              <w:t>按照《涉及国家级自然保护区生态影响专题报告编制指南》相关要求，结合项目和保护区实际，客观评定建设项目对保护区的影响。</w:t>
            </w:r>
          </w:p>
          <w:p>
            <w:pPr>
              <w:pStyle w:val="null3"/>
              <w:ind w:firstLine="420"/>
            </w:pPr>
            <w:r>
              <w:rPr>
                <w:rFonts w:ascii="仿宋_GB2312" w:hAnsi="仿宋_GB2312" w:cs="仿宋_GB2312" w:eastAsia="仿宋_GB2312"/>
                <w:sz w:val="21"/>
              </w:rPr>
              <w:t>（一）资料收集与整理</w:t>
            </w:r>
          </w:p>
          <w:p>
            <w:pPr>
              <w:pStyle w:val="null3"/>
              <w:ind w:firstLine="420"/>
            </w:pPr>
            <w:r>
              <w:rPr>
                <w:rFonts w:ascii="仿宋_GB2312" w:hAnsi="仿宋_GB2312" w:cs="仿宋_GB2312" w:eastAsia="仿宋_GB2312"/>
                <w:sz w:val="21"/>
              </w:rPr>
              <w:t>收集项目及自然保护区的相关资料、数据：</w:t>
            </w:r>
          </w:p>
          <w:p>
            <w:pPr>
              <w:pStyle w:val="null3"/>
              <w:ind w:firstLine="420"/>
            </w:pPr>
            <w:r>
              <w:rPr>
                <w:rFonts w:ascii="仿宋_GB2312" w:hAnsi="仿宋_GB2312" w:cs="仿宋_GB2312" w:eastAsia="仿宋_GB2312"/>
                <w:sz w:val="21"/>
              </w:rPr>
              <w:t>1.自然保护区基础数据：包括动植物种群数量、分布、栖息地状况，生态系统类型（森林、湿地、草原等）及其监测数据等。</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保护管理资料：保护区管理措施、实施效果评估、保护规划、科研论文、科考报告、专项调查报告、物种名录、学术专著等。</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野外调查数据：野外调查记录表、影像资料、物种轨迹数据等。</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政策法规文件：与自然保护区相关的法律法规、政策文件、技术规范及行业标准。</w:t>
            </w:r>
          </w:p>
          <w:p>
            <w:pPr>
              <w:pStyle w:val="null3"/>
              <w:ind w:firstLine="420"/>
            </w:pPr>
            <w:r>
              <w:rPr>
                <w:rFonts w:ascii="仿宋_GB2312" w:hAnsi="仿宋_GB2312" w:cs="仿宋_GB2312" w:eastAsia="仿宋_GB2312"/>
                <w:sz w:val="21"/>
              </w:rPr>
              <w:t>对所有收集的数据进行分类、归纳和整理，确保数据的完整性和准确性。对数据进行初步的统计分析，作为报告编制的基础。</w:t>
            </w:r>
          </w:p>
          <w:p>
            <w:pPr>
              <w:pStyle w:val="null3"/>
              <w:ind w:firstLine="420"/>
            </w:pPr>
            <w:r>
              <w:rPr>
                <w:rFonts w:ascii="仿宋_GB2312" w:hAnsi="仿宋_GB2312" w:cs="仿宋_GB2312" w:eastAsia="仿宋_GB2312"/>
                <w:sz w:val="21"/>
              </w:rPr>
              <w:t>（二）数据分析及报告的编制</w:t>
            </w:r>
          </w:p>
          <w:p>
            <w:pPr>
              <w:pStyle w:val="null3"/>
              <w:ind w:firstLine="420"/>
            </w:pPr>
            <w:r>
              <w:rPr>
                <w:rFonts w:ascii="仿宋_GB2312" w:hAnsi="仿宋_GB2312" w:cs="仿宋_GB2312" w:eastAsia="仿宋_GB2312"/>
                <w:sz w:val="21"/>
              </w:rPr>
              <w:t>对整理后的数据进行深入分析，将收集整理后的数据及成果进行总结分析，总结陕西省渭南市北部山脉森林火灾高风险区综合治理工程建设项目占用陕西韩城黄龙山褐马鸡国家级自然保护区产生的影响，并对影响区域提出相应的减缓措施，并编制成果报告。</w:t>
            </w:r>
          </w:p>
          <w:p>
            <w:pPr>
              <w:pStyle w:val="null3"/>
              <w:ind w:firstLine="420"/>
            </w:pPr>
            <w:r>
              <w:rPr>
                <w:rFonts w:ascii="仿宋_GB2312" w:hAnsi="仿宋_GB2312" w:cs="仿宋_GB2312" w:eastAsia="仿宋_GB2312"/>
                <w:sz w:val="21"/>
              </w:rPr>
              <w:t>重点分析对陕西韩城黄龙山褐马鸡国家级自然保护区景观、生态系统的影响、对生物群落的影响、对种群</w:t>
            </w:r>
            <w:r>
              <w:rPr>
                <w:rFonts w:ascii="仿宋_GB2312" w:hAnsi="仿宋_GB2312" w:cs="仿宋_GB2312" w:eastAsia="仿宋_GB2312"/>
                <w:sz w:val="21"/>
              </w:rPr>
              <w:t>/物种的影响、对主要保护对象的影响、对生物安全的影响、对社会因素的影响。</w:t>
            </w:r>
          </w:p>
          <w:p>
            <w:pPr>
              <w:pStyle w:val="null3"/>
              <w:ind w:firstLine="420"/>
            </w:pPr>
            <w:r>
              <w:rPr>
                <w:rFonts w:ascii="仿宋_GB2312" w:hAnsi="仿宋_GB2312" w:cs="仿宋_GB2312" w:eastAsia="仿宋_GB2312"/>
                <w:sz w:val="21"/>
              </w:rPr>
              <w:t>编制内容全面、数据详实、结论明确、建议可行的生物多样性影响评价报告，报告格式需符合相关技术规范及审批要求。</w:t>
            </w:r>
          </w:p>
          <w:p>
            <w:pPr>
              <w:pStyle w:val="null3"/>
              <w:ind w:firstLine="420"/>
            </w:pPr>
            <w:r>
              <w:rPr>
                <w:rFonts w:ascii="仿宋_GB2312" w:hAnsi="仿宋_GB2312" w:cs="仿宋_GB2312" w:eastAsia="仿宋_GB2312"/>
                <w:sz w:val="21"/>
              </w:rPr>
              <w:t>（三）</w:t>
            </w:r>
            <w:r>
              <w:rPr>
                <w:rFonts w:ascii="仿宋_GB2312" w:hAnsi="仿宋_GB2312" w:cs="仿宋_GB2312" w:eastAsia="仿宋_GB2312"/>
                <w:sz w:val="21"/>
              </w:rPr>
              <w:t>成果文件</w:t>
            </w:r>
          </w:p>
          <w:p>
            <w:pPr>
              <w:pStyle w:val="null3"/>
              <w:ind w:firstLine="420"/>
            </w:pPr>
            <w:r>
              <w:rPr>
                <w:rFonts w:ascii="仿宋_GB2312" w:hAnsi="仿宋_GB2312" w:cs="仿宋_GB2312" w:eastAsia="仿宋_GB2312"/>
                <w:sz w:val="21"/>
              </w:rPr>
              <w:t>提交纸质版成果文件</w:t>
            </w:r>
            <w:r>
              <w:rPr>
                <w:rFonts w:ascii="仿宋_GB2312" w:hAnsi="仿宋_GB2312" w:cs="仿宋_GB2312" w:eastAsia="仿宋_GB2312"/>
                <w:sz w:val="21"/>
              </w:rPr>
              <w:t>6份（含WORD及PDF的电子版）。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根据采购人关于项目的任务安排，明确相应的技术部门，以及足够的、相对固定的技术人员，作为完成本项目的基本力量，建立明确的内部管理模式，建立健全质量保证体系，保证工作质量和进度。参与项目的人员应当遵守国家法律法规，责任心强，专业素质高，技术能力强，掌握现行相关标准、规范和政策</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项目完成由供应商进行自检，自检合格后提交采购人复检，复检通过后提交省林业局审核批复。供应商要确保项目完成后符合国家相关标准，同时须符合磋商文件要求、响应文件承诺及合同的相关约定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（二）违约责任 1.按《中华人民共和国民法典》中的相关条款执行。 2.未按合同要求提供服务或服务质量不能满足技术要求，采购人有权终止合同，并对供方违约行为进行追究，同时按《中华人民共和国政府采购法》的有关规定进行处罚。 （三）其他 1.磋商实行两轮报价。第一轮报价后，磋商小组可以根据项目实施情况调整采购需求，第二轮报价为最终报价。 2.纸质投标文件：成交供应商在领取成交通知书时提供一正两副纸质投标文件，装订：纸质投标文件采用书籍（胶装）方式装订成册，与电子投标文件一致的签字、盖章的完整版本。 3、代理服务费账号信息：公司名称：建信众诚工程咨询有限公司 ，账户：209011580000085788 ，开户行：西安银行股份有限公司东二环南段支行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供应商应具备林业调查规划设计丙级以上（含丙级）资质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项目组织机构.docx 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充分理解项目背景和内容，根据项目实际情况，供应商递交一套完整的总体服务方案，包含：项目实施背景、工作目标、总体框架及计划、各技术思路及方法、预期成果等，方案总体思路清晰内容全面，适合项目需求，且对本项目的地理环境现状把握精准。根据响应情况对供应商总体服务方案的完整性、详细程度、合理性及可行性进行评审： 方案完整、思路清晰、详细程度高，可行性强，得20分； 方案较完整、思路较清晰、详细程度较高，可行性较强，得15分； 方案基本完整、思路基本清晰、详细程度一般，可行性一般，得10分； 方案不完整、思路模糊、不详细，可行性低，得5分； 无或其它情况不得分。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服务流程完整、业务分工清晰、工作实施可行性强得8分； 服务流程较完整、业务分工较清晰、工作实施较可行得6分； 服务流程基本完整、业务分工基本清晰、工作实施基本可行得4分； 服务流程不太完整、业务分工不清晰、工作实施可行性较差得2分； 无或其它情况不得分。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根据供应商履行合同过程的质量保证措施进行评审： 质量保证措施全面，细致，质量体系健全，工作程序清晰，安排科学，保证措施有力得8分； 质量保证措施较全面，质量体系较健全，工作程序较清晰，保证措施有力得6分； 质量保证措施基本全面，质量体系基本健全，工作程序基本清晰，保证措施一般得4分； 质量保证措施不全面、质量体系不健全，工作程序不清晰得2分； 无或其它情况不得分。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有针对本项目的重难点分析及解决方案和应急情况处理办法等，根据其响应情况进行评审： 项目重难点分析全面、合理、准确，应对措施得当、具体、有效的，得8分； 项目重难点分析较全面、合理、准确，应对措施较得当、具体、有效的，得6分； 项目重难点分析基本全面、合理、准确，应对措施基本得当、具体、有效的，得4分； 项目重难点分析不全面，应对措施不太得当，得2分； 无或其它情况不得分。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成果提交</w:t>
            </w:r>
          </w:p>
        </w:tc>
        <w:tc>
          <w:tcPr>
            <w:tcW w:type="dxa" w:w="2492"/>
          </w:tcPr>
          <w:p>
            <w:pPr>
              <w:pStyle w:val="null3"/>
            </w:pPr>
            <w:r>
              <w:rPr>
                <w:rFonts w:ascii="仿宋_GB2312" w:hAnsi="仿宋_GB2312" w:cs="仿宋_GB2312" w:eastAsia="仿宋_GB2312"/>
              </w:rPr>
              <w:t>对本项目工作阶段中成果文件的内容、形式及提交计划有详细的说明： 说明内容完善，形式条理清晰，计划有序得5分； 说明内容较完善，形式条理较清晰，计划较有序得3分； 说明内容粗略，形式条理不清晰得1分； 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1.拟派项目负责人具有相关专业高级或以上职称得3分； 2.拟派项目技术团队成员中（不含项目负责人)具有相关专业高级或以上职称的，每提供一个得1分；具有相关专业中级职称的，每提供一个得0.5分，本项共7分。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安全及保密管理</w:t>
            </w:r>
          </w:p>
        </w:tc>
        <w:tc>
          <w:tcPr>
            <w:tcW w:type="dxa" w:w="2492"/>
          </w:tcPr>
          <w:p>
            <w:pPr>
              <w:pStyle w:val="null3"/>
            </w:pPr>
            <w:r>
              <w:rPr>
                <w:rFonts w:ascii="仿宋_GB2312" w:hAnsi="仿宋_GB2312" w:cs="仿宋_GB2312" w:eastAsia="仿宋_GB2312"/>
              </w:rPr>
              <w:t>针对本项目提供确保安全及保密的管理措施，根据其响应情况进行评审： 管理措施详细完整、合理，可行性高，完全满足项目需求计5分； 管理措施较完整、合理，可行性一般，能够符合项目需求计4分； 管理措施明确，有一定可行性，计3分； 管理措施简单粗略、可行性低计1分； 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供应商针对本项目的服务承诺合理、可行，能及时响应采购人的服务要求，有针对本项目的有利于采购人的合理化建设性意见。根据响应情况进行评审： 服务承诺合理、可行，合理化建议贴合项目实际、可行性高得8分； 服务承诺较合理、可行，合理化建议较贴合项目实际、可行性较高得6分； 服务承诺基本合理、可行，合理化建议有一定的实施性得4分； 服务承诺不太合理，合理化建议可行性较低得2分； 无或其它情况不得分。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提供供应商2022年至今的类似项目业绩，每提供一份得2分，最高得8分，未提供者不得分（提供合同的复印件加盖公章，合同以签订时间为准）。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采用低价优先法计算，即满足磋商文件要求且最后磋商报价最低的磋商价格为磋商基准价，其价格分为满分。其他供应商价格分统一按照下列公式计算：磋商报价得分＝（磋商基准价/最后磋商报价）×价格权值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