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版本号：[HDZB]2026DL-10420260115001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《韩城市湿地保护规划》编制项目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[HDZB]2026DL-104</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华地众信工程项目管理有限公司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华地众信工程项目管理有限公司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《韩城市湿地保护规划》编制项目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[HDZB]2026DL-104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《韩城市湿地保护规划》编制项目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依据三调数据，按照《陕西省湿地保护条例》要求，逐区域核查符合《湿地地类分类》的地块数据，形成湿地档案;二、依据现地调查情况，编制《湿地保护规划》，对不符合湿地类别地块进行举证，形成我市湿地资源图。提出湿地保护意见，编制《湿地保护规划》，并提出一般湿地划定的意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采购包1（《韩城市湿地保护规划》编制项目）：属于专门面向中小企业采购。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w:t>
      </w:r>
    </w:p>
    <w:p>
      <w:pPr>
        <w:pStyle w:val="null3"/>
      </w:pPr>
      <w:r>
        <w:rPr>
          <w:rFonts w:ascii="仿宋_GB2312" w:hAnsi="仿宋_GB2312" w:cs="仿宋_GB2312" w:eastAsia="仿宋_GB2312"/>
        </w:rPr>
        <w:t>2、信誉：投标人不得列入“中国执行信息公开网”网站被列为失信被执行人、“信用中国”网站重大税收违法失信主体及“中国政府采购网”（http://www.ccgp.gov.cn/）政府采购严重违法失信行为记录名单。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韩城市新城区太史大街政府1号楼四楼东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韩城市林业局经办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0913-5197815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华地众信工程项目管理有限公司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陕西省西安市阎良区陕西省西安市国家航空高新技术产业基地蓝天5路科创大厦503室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张媛、穆星汝、王晴、张艺新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029-89556015-619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华地众信工程项目管理有限公司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华地众信工程项目管理有限公司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华地众信工程项目管理有限公司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符合国家、地区及林业相关专业技术要求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华地众信工程项目管理有限公司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联系人：穆星汝</w:t>
      </w:r>
    </w:p>
    <w:p>
      <w:pPr>
        <w:pStyle w:val="null3"/>
      </w:pPr>
      <w:r>
        <w:rPr>
          <w:rFonts w:ascii="仿宋_GB2312" w:hAnsi="仿宋_GB2312" w:cs="仿宋_GB2312" w:eastAsia="仿宋_GB2312"/>
        </w:rPr>
        <w:t>联系电话：029-89556015-619</w:t>
      </w:r>
    </w:p>
    <w:p>
      <w:pPr>
        <w:pStyle w:val="null3"/>
      </w:pPr>
      <w:r>
        <w:rPr>
          <w:rFonts w:ascii="仿宋_GB2312" w:hAnsi="仿宋_GB2312" w:cs="仿宋_GB2312" w:eastAsia="仿宋_GB2312"/>
        </w:rPr>
        <w:t>地址：西安市曲江新区汇新路曲江国际金融中心9楼903室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依据三调数据，按照《陕西省湿地保护条例》要求，逐区域核查符合《湿地地类分类》的地块数据，形成湿地档案;二、依据现地调查情况，编制《湿地保护规划》，对不符合湿地类别地块进行举证，形成我市湿地资源图。提出湿地保护意见，编制《湿地保护规划》，并提出一般湿地划定的意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韩城市湿地规划编制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标的名称：韩城市湿地规划编制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依据三调数据，按照</w:t>
            </w:r>
            <w:r>
              <w:rPr>
                <w:rFonts w:ascii="仿宋_GB2312" w:hAnsi="仿宋_GB2312" w:cs="仿宋_GB2312" w:eastAsia="仿宋_GB2312"/>
                <w:sz w:val="21"/>
              </w:rPr>
              <w:t>《</w:t>
            </w:r>
            <w:r>
              <w:rPr>
                <w:rFonts w:ascii="仿宋_GB2312" w:hAnsi="仿宋_GB2312" w:cs="仿宋_GB2312" w:eastAsia="仿宋_GB2312"/>
                <w:sz w:val="21"/>
              </w:rPr>
              <w:t>陕西省湿地保护条例</w:t>
            </w:r>
            <w:r>
              <w:rPr>
                <w:rFonts w:ascii="仿宋_GB2312" w:hAnsi="仿宋_GB2312" w:cs="仿宋_GB2312" w:eastAsia="仿宋_GB2312"/>
                <w:sz w:val="21"/>
              </w:rPr>
              <w:t>》</w:t>
            </w:r>
            <w:r>
              <w:rPr>
                <w:rFonts w:ascii="仿宋_GB2312" w:hAnsi="仿宋_GB2312" w:cs="仿宋_GB2312" w:eastAsia="仿宋_GB2312"/>
                <w:sz w:val="21"/>
              </w:rPr>
              <w:t>要求，逐区域核查符合</w:t>
            </w:r>
            <w:r>
              <w:rPr>
                <w:rFonts w:ascii="仿宋_GB2312" w:hAnsi="仿宋_GB2312" w:cs="仿宋_GB2312" w:eastAsia="仿宋_GB2312"/>
                <w:sz w:val="21"/>
              </w:rPr>
              <w:t>《</w:t>
            </w:r>
            <w:r>
              <w:rPr>
                <w:rFonts w:ascii="仿宋_GB2312" w:hAnsi="仿宋_GB2312" w:cs="仿宋_GB2312" w:eastAsia="仿宋_GB2312"/>
                <w:sz w:val="21"/>
              </w:rPr>
              <w:t>湿地地类分</w:t>
            </w:r>
            <w:r>
              <w:rPr>
                <w:rFonts w:ascii="仿宋_GB2312" w:hAnsi="仿宋_GB2312" w:cs="仿宋_GB2312" w:eastAsia="仿宋_GB2312"/>
                <w:sz w:val="21"/>
              </w:rPr>
              <w:t>类</w:t>
            </w:r>
            <w:r>
              <w:rPr>
                <w:rFonts w:ascii="仿宋_GB2312" w:hAnsi="仿宋_GB2312" w:cs="仿宋_GB2312" w:eastAsia="仿宋_GB2312"/>
                <w:sz w:val="21"/>
              </w:rPr>
              <w:t>》</w:t>
            </w:r>
            <w:r>
              <w:rPr>
                <w:rFonts w:ascii="仿宋_GB2312" w:hAnsi="仿宋_GB2312" w:cs="仿宋_GB2312" w:eastAsia="仿宋_GB2312"/>
                <w:sz w:val="21"/>
              </w:rPr>
              <w:t>的地块数据，形成湿地档案</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依据现地调查情况，编制</w:t>
            </w:r>
            <w:r>
              <w:rPr>
                <w:rFonts w:ascii="仿宋_GB2312" w:hAnsi="仿宋_GB2312" w:cs="仿宋_GB2312" w:eastAsia="仿宋_GB2312"/>
                <w:sz w:val="21"/>
              </w:rPr>
              <w:t>《</w:t>
            </w:r>
            <w:r>
              <w:rPr>
                <w:rFonts w:ascii="仿宋_GB2312" w:hAnsi="仿宋_GB2312" w:cs="仿宋_GB2312" w:eastAsia="仿宋_GB2312"/>
                <w:sz w:val="21"/>
              </w:rPr>
              <w:t>湿地保护规划</w:t>
            </w:r>
            <w:r>
              <w:rPr>
                <w:rFonts w:ascii="仿宋_GB2312" w:hAnsi="仿宋_GB2312" w:cs="仿宋_GB2312" w:eastAsia="仿宋_GB2312"/>
                <w:sz w:val="21"/>
              </w:rPr>
              <w:t>》</w:t>
            </w:r>
            <w:r>
              <w:rPr>
                <w:rFonts w:ascii="仿宋_GB2312" w:hAnsi="仿宋_GB2312" w:cs="仿宋_GB2312" w:eastAsia="仿宋_GB2312"/>
                <w:sz w:val="21"/>
              </w:rPr>
              <w:t>，对不符合湿地类别地块进行举证，形成我市湿地资源图。提出湿地保护意见，编制</w:t>
            </w:r>
            <w:r>
              <w:rPr>
                <w:rFonts w:ascii="仿宋_GB2312" w:hAnsi="仿宋_GB2312" w:cs="仿宋_GB2312" w:eastAsia="仿宋_GB2312"/>
                <w:sz w:val="21"/>
              </w:rPr>
              <w:t>《</w:t>
            </w:r>
            <w:r>
              <w:rPr>
                <w:rFonts w:ascii="仿宋_GB2312" w:hAnsi="仿宋_GB2312" w:cs="仿宋_GB2312" w:eastAsia="仿宋_GB2312"/>
                <w:sz w:val="21"/>
              </w:rPr>
              <w:t>湿地保护规划</w:t>
            </w:r>
            <w:r>
              <w:rPr>
                <w:rFonts w:ascii="仿宋_GB2312" w:hAnsi="仿宋_GB2312" w:cs="仿宋_GB2312" w:eastAsia="仿宋_GB2312"/>
                <w:sz w:val="21"/>
              </w:rPr>
              <w:t>》，</w:t>
            </w:r>
            <w:r>
              <w:rPr>
                <w:rFonts w:ascii="仿宋_GB2312" w:hAnsi="仿宋_GB2312" w:cs="仿宋_GB2312" w:eastAsia="仿宋_GB2312"/>
                <w:sz w:val="21"/>
              </w:rPr>
              <w:t>并提出一般湿地划定的意见。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合同签订后180天提交报告初稿，政府评审通过后15天提交正式报告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符合国家、地区及林业相关专业技术要求。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《韩城市湿地保护规划》编制项目完成，甲方审核通过后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取得同级政府批准后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1、乙方应在合同约定的时间内完成合同约定的成果，成果达到合同规定的要求。 2、乙方提供的技术成果达不到合同规定要求的，乙方应无条件完善、修改。 3、乙方应对甲方提供的资料承担保密义务。 4、未经甲方同意，乙方不得擅自将咨询成果提供给第三方使用，否则，由此发生的损失和法律责任由乙方承担。 5、审批过程中主管部门要求修改、补充材料的，乙方应在甲方通知后 7 个工作日内完成修改并重新提交，且不得额外收取费用；因乙方未按时配合导致审批延误超过 30 天的，甲方有权扣减合同总价款的 10% 作为违约金，且有权解除合同。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供应商需在项目电子化交易系统中按要求填写《投标函》完成承诺并进行电子签章。（1）、投标人合法注册的法人或其他组织的营业执照等证明文件，自然人的身份证明； （2）、具有良好的商业信誉和健全的财务会计制度的证明材料（须提供 2024年度或2025年度经第三方审计的财务报告，至少包括三表一注，即资产负债表、利润表、现金流量表及其附注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（3）社会保障资金缴纳证明：提供截止至磋商时间前一年内任意1个月的社会保障资金缴存单据或社保机构开具的社会保险参保缴费情况证明，依法不需要缴纳社会保障资金的单位应提供相关证明材料。 （4）税收缴纳证明：提供截止至磋商时间前一年内任意1个月的纳税证明或完税证明，纳税证明或完税证明上应有代收机构或税务机关的公章或业务专用章。依法免税的供应商应提供相关文件证明。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法定代表人或授权人的签字齐全并加盖公章</w:t>
            </w:r>
          </w:p>
        </w:tc>
        <w:tc>
          <w:tcPr>
            <w:tcW w:type="dxa" w:w="1661"/>
          </w:tcPr>
          <w:p>
            <w:pPr>
              <w:pStyle w:val="null3"/>
            </w:pPr>
            <w:r>
              <w:rPr>
                <w:rFonts w:ascii="仿宋_GB2312" w:hAnsi="仿宋_GB2312" w:cs="仿宋_GB2312" w:eastAsia="仿宋_GB2312"/>
              </w:rPr>
              <w:t>响应文件封面 供应商类似项目业绩一览表.docx 中小企业声明函 残疾人福利性单位声明函 服务方案 标的清单 供应商资格证明文件.docx 响应函 拟派人员一览表.docx 监狱企业的证明文件 供应商关系承诺书.docx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应符合“响应文件格式”的规定</w:t>
            </w:r>
          </w:p>
        </w:tc>
        <w:tc>
          <w:tcPr>
            <w:tcW w:type="dxa" w:w="1661"/>
          </w:tcPr>
          <w:p>
            <w:pPr>
              <w:pStyle w:val="null3"/>
            </w:pPr>
            <w:r>
              <w:rPr>
                <w:rFonts w:ascii="仿宋_GB2312" w:hAnsi="仿宋_GB2312" w:cs="仿宋_GB2312" w:eastAsia="仿宋_GB2312"/>
              </w:rPr>
              <w:t>响应文件封面 供应商类似项目业绩一览表.docx 中小企业声明函 残疾人福利性单位声明函 服务方案 标的清单 供应商资格证明文件.docx 响应函 拟派人员一览表.docx 监狱企业的证明文件 供应商关系承诺书.docx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不存在下列规定的任何一种情形，有下列情形之一的，视为供应商相互恶意串通，响应文件无效： (1) 不同供应商的响应文件由同一单位或者个人编制； (2) 不同供应商委托同一单位或者个人办理磋商事宜； (3) 不同供应商的响 应文件载明的项目管理成员为同一人； (4) 不同供应商的响应文件异常一致或者磋商报价呈 规律性差异； (5) 不同供应商的响应文件相互混装； (6) 不同供应商的磋商保证金从同一单位或者个人的账户转出 (仅限供应商须知前附表要求供应商提交磋商保证金的) 。</w:t>
            </w:r>
          </w:p>
        </w:tc>
        <w:tc>
          <w:tcPr>
            <w:tcW w:type="dxa" w:w="1661"/>
          </w:tcPr>
          <w:p>
            <w:pPr>
              <w:pStyle w:val="null3"/>
            </w:pPr>
            <w:r>
              <w:rPr>
                <w:rFonts w:ascii="仿宋_GB2312" w:hAnsi="仿宋_GB2312" w:cs="仿宋_GB2312" w:eastAsia="仿宋_GB2312"/>
              </w:rPr>
              <w:t>响应文件封面 供应商类似项目业绩一览表.docx 中小企业声明函 残疾人福利性单位声明函 服务方案 标的清单 供应商资格证明文件.docx 报价表 响应函 拟派人员一览表.docx 监狱企业的证明文件 供应商关系承诺书.docx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供应商类似项目业绩一览表.docx 商务应答表 服务方案 响应函 拟派人员一览表.docx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服务方案先进、方案周密、思路清晰合理、可操作性、科学性强，任务明确，得15分； 总体服务方案完整、具有可操作性、科学性，任务较为明确、得10分； 总体服务方案一般、具有一定的操作性、科学性较弱，任务不明确、得7分； 服务方案较差，欠详细、欠完善的得3分；无内容或提供的内容与本项目无关，得0分。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提供详细具体的工作进度计划安排，时间节点控制合理，措施得当，得10分；供应商提供较完整的工作进度计划安排，时间节点控制较合理，具有相应的措施得7分；供应商提供了工作进度计划安排，时间节点较合理，措施简略得4分；供应商提供的工作进度安排计划欠合理，措施简要得1分；无内容或提供的内容与本项目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有健全的管理制度和质量保证体系，控制措施详细，技术措施、组织措施、合同措施齐全的，可行得10分；有健全的管理制度和质量保证体系，控制措施较详细，技术措施、组织措施、合同措施基本齐全的，基本可行得7分；有健全的管理制度和质量保证体系，控制措施一般详细，技术措施、组织措施、合同措施一般齐全的，基本可行得4分；有健全的管理制度和质量保证体系，控制措施欠详细，技术措施、组织措施、合同措施欠齐全的，可行性不高得1分；无内容或提供的内容与本项目无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有保密承诺，具备完善的内部保密制度，保密措施得当，制度完善，措施合理可行，把控严格得10分；有保密承诺，具备较为完善得内部保密制度，保密措施基本得当，制度清晰，措施基本合理得7分；有保密承诺，保密措施一般，有保密制度，措施一般得4分；有保密承诺，无保密制度，保密措施不完整得1分；无内容或未提供保密承诺，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项目负责人相关行业从业经历得2分，具有与本项目相关专业的正高级（教授）职称得3分；提供不完整或未提供不得分。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提供针对本项目的人员配置方案，人数大于5人，包括项目主要负责人、其他人员的配置，各岗位人员的数量、学历、专业、工作经验等，到采购人指定地点开展驻场办公服务，直到项目完全结束为止，且驻场服务期间产生的一切费用和责任自行承担。” （1）人员配置合理、职责划分明确，专业技能强、经验丰富，能有效保证各项工作的顺利进行，得10分； （2）人员配置较合理、有明确的职责划分，专业技能较强，得8分； （3）人员配置基本合理、职责划分不明确，得6分； （4）有明显缺项，得4分； （5）人数配置不足，得2分。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合理化建议完整科学、合理、可行，针对性强，满足项目需求，得5分；合理化建议较为完整科学、合理、可行，较有针对性，较满足项目需求，得3分； 合理化建议一般完整科学、合理、可行，一般有针对性，一般满足项目需求，得2分；合理化建议施欠合理，无针对性，得1分；无内容或提供的内容与本项目无关，得0分。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得10分；有服务承诺，内容完整，描述清晰基本合理得7分；有服务承诺，内容基本完整，承诺内容一般得4分；有服务承诺，内容描述有欠缺1分；无内容或未提供保密承诺，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供应商提供类似规划报告或者可行性研究报告编制等类似业绩，每提供一个计5分，满分10分。（须在竞争性磋商响应文件格式中提供合同的复印件加盖公章，否则不计分。）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因本项目为为专门面向中小企业采购项目，不再小享受价格评审优惠。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详见附件：《韩城市湿地保护规划》编制项目技术合同.docx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