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版本号：JXZB2026-01-0920260115001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韩城市“十五五”住房和城乡建设事业发展规划编制项目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JXZB2026-01-09</w:t>
      </w:r>
      <w:r>
        <w:br/>
      </w:r>
      <w:r>
        <w:br/>
      </w:r>
      <w:r>
        <w:br/>
      </w:r>
    </w:p>
    <w:p>
      <w:pPr>
        <w:pStyle w:val="null3"/>
        <w:jc w:val="center"/>
        <w:outlineLvl w:val="2"/>
      </w:pPr>
      <w:r>
        <w:rPr>
          <w:rFonts w:ascii="仿宋_GB2312" w:hAnsi="仿宋_GB2312" w:cs="仿宋_GB2312" w:eastAsia="仿宋_GB2312"/>
          <w:sz w:val="28"/>
          <w:b/>
        </w:rPr>
        <w:t>韩城市住房和城乡规划建设局（本级）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韩城市住房和城乡规划建设局（本级）</w:t>
      </w:r>
      <w:r>
        <w:rPr>
          <w:rFonts w:ascii="仿宋_GB2312" w:hAnsi="仿宋_GB2312" w:cs="仿宋_GB2312" w:eastAsia="仿宋_GB2312"/>
        </w:rPr>
        <w:t>委托，拟对</w:t>
      </w:r>
      <w:r>
        <w:rPr>
          <w:rFonts w:ascii="仿宋_GB2312" w:hAnsi="仿宋_GB2312" w:cs="仿宋_GB2312" w:eastAsia="仿宋_GB2312"/>
        </w:rPr>
        <w:t>韩城市“十五五”住房和城乡建设事业发展规划编制项目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JXZB2026-01-09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韩城市“十五五”住房和城乡建设事业发展规划编制项目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韩城市“十五五”住房和城乡建设事业发展规划编制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8、资质：供应商应具备行政主管部门颁发的城乡规划编制乙级以上（含乙级）资质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韩城市住房和城乡规划建设局（本级）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韩城市新兴产业基地二号楼9楼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0913-5212161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韩城市住房和城乡规划建设局（本级）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韩城市住房和城乡规划建设局（本级）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韩城市住房和城乡规划建设局（本级）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韩城市“十五五”住房和城乡建设事业发展规划编制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韩城市十五五住房和城乡建设事业发展规划编制项目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标的名称：韩城市十五五住房和城乡建设事业发展规划编制项目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（一）项目主体内容</w:t>
            </w:r>
          </w:p>
          <w:p>
            <w:pPr>
              <w:pStyle w:val="null3"/>
              <w:jc w:val="both"/>
            </w:pPr>
            <w:r>
              <w:rPr>
                <w:rFonts w:ascii="仿宋_GB2312" w:hAnsi="仿宋_GB2312" w:cs="仿宋_GB2312" w:eastAsia="仿宋_GB2312"/>
                <w:b/>
              </w:rPr>
              <w:t>1、规划编制主体</w:t>
            </w:r>
          </w:p>
          <w:p>
            <w:pPr>
              <w:pStyle w:val="null3"/>
              <w:ind w:firstLine="640"/>
              <w:jc w:val="both"/>
            </w:pPr>
            <w:r>
              <w:rPr>
                <w:rFonts w:ascii="仿宋_GB2312" w:hAnsi="仿宋_GB2312" w:cs="仿宋_GB2312" w:eastAsia="仿宋_GB2312"/>
              </w:rPr>
              <w:t>《韩城市“十五五”住房和城乡建设事业发展规划》由韩城市住房和城乡建设局组织编制，由城建科牵头负责指导研究机构或科研院所开展规划编制工作。</w:t>
            </w:r>
          </w:p>
          <w:p>
            <w:pPr>
              <w:pStyle w:val="null3"/>
              <w:jc w:val="both"/>
            </w:pPr>
            <w:r>
              <w:rPr>
                <w:rFonts w:ascii="仿宋_GB2312" w:hAnsi="仿宋_GB2312" w:cs="仿宋_GB2312" w:eastAsia="仿宋_GB2312"/>
                <w:b/>
              </w:rPr>
              <w:t>2、规划功能目标</w:t>
            </w:r>
          </w:p>
          <w:p>
            <w:pPr>
              <w:pStyle w:val="null3"/>
              <w:ind w:firstLine="640"/>
              <w:jc w:val="both"/>
            </w:pPr>
            <w:r>
              <w:rPr>
                <w:rFonts w:ascii="仿宋_GB2312" w:hAnsi="仿宋_GB2312" w:cs="仿宋_GB2312" w:eastAsia="仿宋_GB2312"/>
              </w:rPr>
              <w:t>《韩城市“十五五”住房和城乡建设事业发展规划》须全面回顾“十四五”期间韩城市住房、建设、管理领域的主要成就与短板，通过定量评估核心指标完成情况，确保“十五五”规划既是对“十四五”工作的延续与深化，又能精准应对新形势、新要求，为实现“十四五”圆满收官和“十五五”良好开局奠定基础。</w:t>
            </w:r>
          </w:p>
          <w:p>
            <w:pPr>
              <w:pStyle w:val="null3"/>
              <w:ind w:firstLine="640"/>
              <w:jc w:val="both"/>
            </w:pPr>
            <w:r>
              <w:rPr>
                <w:rFonts w:ascii="仿宋_GB2312" w:hAnsi="仿宋_GB2312" w:cs="仿宋_GB2312" w:eastAsia="仿宋_GB2312"/>
              </w:rPr>
              <w:t>本次规划须严格遵循国家宏观战略，并紧密对接省、市“十五五”上位规划的相关核心要求。特别是围绕“一个优化、六大建设”的重点任务部署，将“创新、宜居、美丽、韧性、文明、智慧”的宏观导向，转化为韩城市层面的具体行动目标。对照中省考核指标开展定量评价，提出涵盖住房保障、房地产开发、城镇建设、环境保护、村镇建设、建筑业发展等领域的指标体系。规划细化住房制度完善、城市更新行动、城乡融合发展、历史文化保护传承、智慧城市建设和建筑业转型升级等核心任务，同步建立重大项目库，明确项目建设时序、投资来源、责任主体及要素保障措施。</w:t>
            </w:r>
          </w:p>
          <w:p>
            <w:pPr>
              <w:pStyle w:val="null3"/>
              <w:jc w:val="both"/>
            </w:pPr>
            <w:r>
              <w:rPr>
                <w:rFonts w:ascii="仿宋_GB2312" w:hAnsi="仿宋_GB2312" w:cs="仿宋_GB2312" w:eastAsia="仿宋_GB2312"/>
                <w:b/>
              </w:rPr>
              <w:t>3、规划编制程序</w:t>
            </w:r>
          </w:p>
          <w:p>
            <w:pPr>
              <w:pStyle w:val="null3"/>
              <w:ind w:firstLine="640"/>
              <w:jc w:val="both"/>
            </w:pPr>
            <w:r>
              <w:rPr>
                <w:rFonts w:ascii="仿宋_GB2312" w:hAnsi="仿宋_GB2312" w:cs="仿宋_GB2312" w:eastAsia="仿宋_GB2312"/>
              </w:rPr>
              <w:t>（1）制定工作计划和收集基础资料</w:t>
            </w:r>
          </w:p>
          <w:p>
            <w:pPr>
              <w:pStyle w:val="null3"/>
              <w:ind w:firstLine="640"/>
              <w:jc w:val="both"/>
            </w:pPr>
            <w:r>
              <w:rPr>
                <w:rFonts w:ascii="仿宋_GB2312" w:hAnsi="仿宋_GB2312" w:cs="仿宋_GB2312" w:eastAsia="仿宋_GB2312"/>
              </w:rPr>
              <w:t>明确《韩城市“十五五”住房和城乡建设事业发展规划》编制工作的组织架构、责任分工、工作内容、进度安排、组织保障及经费预算。系统收集韩城市住房、建设、管理各领域“十四五”以来的政策文件、统计数据、项目清单、考核结果等基础资料。</w:t>
            </w:r>
          </w:p>
          <w:p>
            <w:pPr>
              <w:pStyle w:val="null3"/>
              <w:ind w:firstLine="640"/>
              <w:jc w:val="both"/>
            </w:pPr>
            <w:r>
              <w:rPr>
                <w:rFonts w:ascii="仿宋_GB2312" w:hAnsi="仿宋_GB2312" w:cs="仿宋_GB2312" w:eastAsia="仿宋_GB2312"/>
              </w:rPr>
              <w:t>（2）开展问题梳理和编制规划方案</w:t>
            </w:r>
          </w:p>
          <w:p>
            <w:pPr>
              <w:pStyle w:val="null3"/>
              <w:ind w:firstLine="640"/>
              <w:jc w:val="both"/>
            </w:pPr>
            <w:r>
              <w:rPr>
                <w:rFonts w:ascii="仿宋_GB2312" w:hAnsi="仿宋_GB2312" w:cs="仿宋_GB2312" w:eastAsia="仿宋_GB2312"/>
              </w:rPr>
              <w:t>通过部门座谈、现场调研、问卷访谈、专家咨询等方式，全面梳理韩城市住房保障、房地产开发、城镇建设、村镇建设、建筑业发展、历史文化保护、智慧城市等领域的现状短板、发展诉求与风险隐患。对照中省考核指标，形成定量评价报告，编制完成规划方案（含指标体系、重大任务、项目库）并提交初步成果。</w:t>
            </w:r>
          </w:p>
          <w:p>
            <w:pPr>
              <w:pStyle w:val="null3"/>
              <w:ind w:firstLine="640"/>
              <w:jc w:val="both"/>
            </w:pPr>
            <w:r>
              <w:rPr>
                <w:rFonts w:ascii="仿宋_GB2312" w:hAnsi="仿宋_GB2312" w:cs="仿宋_GB2312" w:eastAsia="仿宋_GB2312"/>
              </w:rPr>
              <w:t>（3）规划成果编制</w:t>
            </w:r>
          </w:p>
          <w:p>
            <w:pPr>
              <w:pStyle w:val="null3"/>
              <w:ind w:firstLine="640"/>
              <w:jc w:val="both"/>
            </w:pPr>
            <w:r>
              <w:rPr>
                <w:rFonts w:ascii="仿宋_GB2312" w:hAnsi="仿宋_GB2312" w:cs="仿宋_GB2312" w:eastAsia="仿宋_GB2312"/>
              </w:rPr>
              <w:t>规划初步成果形成后，需征求相关部门意见，报韩城市住房和城乡建设局组织初审，修改完善后报市政府专题会议审议通过后印发实施。</w:t>
            </w:r>
          </w:p>
          <w:p>
            <w:pPr>
              <w:pStyle w:val="null3"/>
              <w:jc w:val="both"/>
            </w:pPr>
            <w:r>
              <w:rPr>
                <w:rFonts w:ascii="仿宋_GB2312" w:hAnsi="仿宋_GB2312" w:cs="仿宋_GB2312" w:eastAsia="仿宋_GB2312"/>
                <w:b/>
              </w:rPr>
              <w:t>（二）项目编制依据</w:t>
            </w:r>
          </w:p>
          <w:p>
            <w:pPr>
              <w:pStyle w:val="null3"/>
              <w:ind w:firstLine="640"/>
              <w:jc w:val="both"/>
            </w:pPr>
            <w:r>
              <w:rPr>
                <w:rFonts w:ascii="仿宋_GB2312" w:hAnsi="仿宋_GB2312" w:cs="仿宋_GB2312" w:eastAsia="仿宋_GB2312"/>
              </w:rPr>
              <w:t>国家相关法律法规、技术依据、政策文件，规划需衔接国家、陕西省、渭南市“十五五”规划及《陕西省“十五五”住房和城乡建设事业发展规划》相关内容。</w:t>
            </w:r>
          </w:p>
          <w:p>
            <w:pPr>
              <w:pStyle w:val="null3"/>
              <w:jc w:val="both"/>
            </w:pPr>
            <w:r>
              <w:rPr>
                <w:rFonts w:ascii="仿宋_GB2312" w:hAnsi="仿宋_GB2312" w:cs="仿宋_GB2312" w:eastAsia="仿宋_GB2312"/>
                <w:b/>
              </w:rPr>
              <w:t>（三）项目成果要求</w:t>
            </w:r>
          </w:p>
          <w:p>
            <w:pPr>
              <w:pStyle w:val="null3"/>
              <w:ind w:firstLine="640"/>
              <w:jc w:val="both"/>
            </w:pPr>
            <w:r>
              <w:rPr>
                <w:rFonts w:ascii="仿宋_GB2312" w:hAnsi="仿宋_GB2312" w:cs="仿宋_GB2312" w:eastAsia="仿宋_GB2312"/>
              </w:rPr>
              <w:t>按照陕西省住房和城乡建设厅规定的时间节点向甲方提交规定的所有纸质成果和电子数据（包括文本、附件等）。</w:t>
            </w:r>
          </w:p>
          <w:p>
            <w:pPr>
              <w:pStyle w:val="null3"/>
              <w:jc w:val="both"/>
            </w:pPr>
            <w:r>
              <w:rPr>
                <w:rFonts w:ascii="仿宋_GB2312" w:hAnsi="仿宋_GB2312" w:cs="仿宋_GB2312" w:eastAsia="仿宋_GB2312"/>
                <w:b/>
              </w:rPr>
              <w:t>（四）项目质量要求</w:t>
            </w:r>
          </w:p>
          <w:p>
            <w:pPr>
              <w:pStyle w:val="null3"/>
              <w:ind w:firstLine="640"/>
              <w:jc w:val="both"/>
            </w:pPr>
            <w:r>
              <w:rPr>
                <w:rFonts w:ascii="仿宋_GB2312" w:hAnsi="仿宋_GB2312" w:cs="仿宋_GB2312" w:eastAsia="仿宋_GB2312"/>
              </w:rPr>
              <w:t>规划成果应严格落实中央城市工作会议、全国住房城乡建设工作会议及省委、省政府关于城市高质量建设的系列决策部署，把“推进现代化人民城市建设”“着力稳定房地产市场”“加快建筑业提质升级”“夯实高质量发展基础支撑”等重点要求贯穿《韩城市“十五五”住房和城乡建设事业发展规划》编制全过程，结合韩城市情实际，并细化落实到住房保障、城市更新、城乡融合、建筑业升级、历史文化保护、智慧城市等各领域提出科学、可行、具体的规划意见。</w:t>
            </w:r>
          </w:p>
          <w:p>
            <w:pPr>
              <w:pStyle w:val="null3"/>
              <w:ind w:firstLine="640"/>
              <w:jc w:val="both"/>
            </w:pPr>
            <w:r>
              <w:rPr>
                <w:rFonts w:ascii="仿宋_GB2312" w:hAnsi="仿宋_GB2312" w:cs="仿宋_GB2312" w:eastAsia="仿宋_GB2312"/>
              </w:rPr>
              <w:t>规划编制前期须结合韩城市“十四五”住房城乡建设总体评估和专项总结，开展覆盖全域的基础调研，夯实数据底座与政策工具箱。</w:t>
            </w:r>
          </w:p>
          <w:p>
            <w:pPr>
              <w:pStyle w:val="null3"/>
              <w:ind w:firstLine="640"/>
              <w:jc w:val="both"/>
            </w:pPr>
            <w:r>
              <w:rPr>
                <w:rFonts w:ascii="仿宋_GB2312" w:hAnsi="仿宋_GB2312" w:cs="仿宋_GB2312" w:eastAsia="仿宋_GB2312"/>
              </w:rPr>
              <w:t>本规划成果须确保前瞻性、科学性、可操作性，高效引导“十五五”期间韩城市住房城乡建设事业有序发展。规划编制必须深度融入并全力支撑韩城市“黄河沿岸区域性中心城市”的总体定位，紧扣2035年建成黄河流域生态保护和高质量发展先行区的远景目标，将住房保障、城市更新、村镇建设、建筑业转型等具体任务，有机落实到打造黄河沿线生态保护重点区、彰显黄河文明的魅力文化名城等发展维度中，系统性推动城市功能完善、品质提升与可持续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根据采购人关于项目的任务安排，明确相应的技术部门，以及足够的、相对固定的技术人员，作为完成本项目的基本力量，建立明确的内部管理模式，建立健全质量保证体系，保证工作质量和进度。参与项目的人员应当遵守国家法律法规，责任心强，专业素质高，技术能力强，掌握现行相关标准、规范和政策</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自签订合同之日起180日历日，具体时间以主管部门文件为准。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通过韩城市政府专题会议审议通过后视为验收通过。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方案编制完成，获得韩城市住房和城乡建设局党组会确认通过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（二）其他 1.纸质投标文件：成交供应商在领取成交通知书时提供一正两副纸质投标文件，装订：纸质投标文件采用书籍（胶装）方式装订成册，与电子投标文件一致的签字、盖章的完整版本。 2.代理服务费账号信息：公司名称：建信众诚工程咨询有限公司 ，账户：209011580000085788 ，开户行：西安银行股份有限公司东二环南段支行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供应商应具备行政主管部门颁发的城乡规划编制乙级以上（含乙级）资质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项目背景分析内容包括 ①项目背景分析；②项目前期发展情况；③项目前期问题和薄弱环节。通过对“ 十四五” 时期韩城住房、建设、管理领域进行全面总结，包括取得的成绩、存在的问题和薄弱环节，阐述准确、全面、深入、透彻得 9 分；评审内容每缺一项扣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分析面临的机遇、挑战；②发展指导思想；③主要目标④重点任务和重大举措。通过分析当前国内外形势，深入分析韩城市“十五五”时期经济社会发展面临的机遇和挑战，明确韩城市“十五五”时期经济社会发展指导思想、主要目标、重点任务和重大举措，阐述准确、全面、深入、透彻得 16 分，评审内容缺一项扣 4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项目实施进度计划内容包括①实施进度方案；②进度保障措施；③工作阶段任务划分。以上内容专门针对本项目且阐述明细、全面、合理、进度安排科学合理，关键时间点把握准确得 12 分，评审内容缺一项扣 4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 ③成果文件质量控制措施；④进度保障措施。以上内容专门针对本项目且阐述明细、全面、合理得 12 分，每缺一项内容扣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 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风险防控</w:t>
            </w:r>
          </w:p>
        </w:tc>
        <w:tc>
          <w:tcPr>
            <w:tcW w:type="dxa" w:w="2492"/>
          </w:tcPr>
          <w:p>
            <w:pPr>
              <w:pStyle w:val="null3"/>
            </w:pPr>
            <w:r>
              <w:rPr>
                <w:rFonts w:ascii="仿宋_GB2312" w:hAnsi="仿宋_GB2312" w:cs="仿宋_GB2312" w:eastAsia="仿宋_GB2312"/>
              </w:rPr>
              <w:t>根据供应商提供的风险防控方案(包括但不限于①风险识别；②风险评估；③风险防范措施)进行综合评审。 前述要求的方案内容均有描述且符合本项目要求的得 9分；每缺少一项要求的方案内容扣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 、拟派项目负责人具有城乡规划类相关专业高级或以上技术职称的得1分；项目负责人具有注册城乡规划师资格证的，得1分； 2、除项目负责人外其他项目人员具有城乡规划类相关专业中级或以上职称的，每有一人得 1分，最高得 5 分（注：提供证书复印件或扫描件加盖供应商公章，不提供不得分）。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①组织机构设置方案②团队的职能分工及职责划分方案。机构设置合理、团队人员职责划分明确、团队配置满足项目情况及需要，人员专业能力能有效保障项目服务质量，内容描述详细，架构清晰的得6 分。评审内容每缺一项扣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内部管理制度内容包括①业务质量控制制度；②信息反馈渠道及风险控制制度；③保密承诺。以上内容专门针对本项目且阐述明细、全面、合理得 9 分，每缺一项内容扣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 2021 年 1 月至响应文件递交截止日类似项目业绩（提供合同复印件加盖供应商公章，以合同签订日期为准），每提供一份业绩得2分，最高得 10 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价格为磋商基准价，其价格分为满分。其他供应商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