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版本号：TYRZHC-2026-00520260122001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韩城市有机物处理厂运营项目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TYRZHC-2026-005</w:t>
      </w:r>
      <w:r>
        <w:br/>
      </w:r>
      <w:r>
        <w:br/>
      </w:r>
      <w:r>
        <w:br/>
      </w:r>
    </w:p>
    <w:p>
      <w:pPr>
        <w:pStyle w:val="null3"/>
        <w:jc w:val="center"/>
        <w:outlineLvl w:val="2"/>
      </w:pPr>
      <w:r>
        <w:rPr>
          <w:rFonts w:ascii="仿宋_GB2312" w:hAnsi="仿宋_GB2312" w:cs="仿宋_GB2312" w:eastAsia="仿宋_GB2312"/>
          <w:sz w:val="28"/>
          <w:b/>
        </w:rPr>
        <w:t>韩城市住房和城乡规划建设局（本级）</w:t>
      </w:r>
    </w:p>
    <w:p>
      <w:pPr>
        <w:pStyle w:val="null3"/>
        <w:jc w:val="center"/>
        <w:outlineLvl w:val="2"/>
      </w:pPr>
      <w:r>
        <w:rPr>
          <w:rFonts w:ascii="仿宋_GB2312" w:hAnsi="仿宋_GB2312" w:cs="仿宋_GB2312" w:eastAsia="仿宋_GB2312"/>
          <w:sz w:val="28"/>
          <w:b/>
        </w:rPr>
        <w:t>天煜荣泽工程咨询有限公司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天煜荣泽工程咨询有限公司</w:t>
      </w:r>
      <w:r>
        <w:rPr>
          <w:rFonts w:ascii="仿宋_GB2312" w:hAnsi="仿宋_GB2312" w:cs="仿宋_GB2312" w:eastAsia="仿宋_GB2312"/>
        </w:rPr>
        <w:t>（以下简称“代理机构”）受</w:t>
      </w:r>
      <w:r>
        <w:rPr>
          <w:rFonts w:ascii="仿宋_GB2312" w:hAnsi="仿宋_GB2312" w:cs="仿宋_GB2312" w:eastAsia="仿宋_GB2312"/>
        </w:rPr>
        <w:t>韩城市住房和城乡规划建设局（本级）</w:t>
      </w:r>
      <w:r>
        <w:rPr>
          <w:rFonts w:ascii="仿宋_GB2312" w:hAnsi="仿宋_GB2312" w:cs="仿宋_GB2312" w:eastAsia="仿宋_GB2312"/>
        </w:rPr>
        <w:t>委托，拟对</w:t>
      </w:r>
      <w:r>
        <w:rPr>
          <w:rFonts w:ascii="仿宋_GB2312" w:hAnsi="仿宋_GB2312" w:cs="仿宋_GB2312" w:eastAsia="仿宋_GB2312"/>
        </w:rPr>
        <w:t>韩城市有机物处理厂运营项目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TYRZHC-2026-005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韩城市有机物处理厂运营项目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自运营之日起，每年三百六十五（365) 日连续接收并处理粪便，将从各个接收点接收的粪便经处理并达到标准后，处理后的污水免费排放至指定的污水排污口。经过处理后的粪渣、垃圾、废渣经垃圾运输车运输至指定的垃圾填埋场免费倾倒处理。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采购包1（韩城市有机物处理厂运营项目）：属于专门面向中小企业采购。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p>
      <w:pPr>
        <w:pStyle w:val="null3"/>
      </w:pPr>
      <w:r>
        <w:rPr>
          <w:rFonts w:ascii="仿宋_GB2312" w:hAnsi="仿宋_GB2312" w:cs="仿宋_GB2312" w:eastAsia="仿宋_GB2312"/>
        </w:rPr>
        <w:t>3、税收缴纳证明：提供投标截止前半年内至少一个月的纳税凭证或完税证明（任意税种），完税证明上应有代收机构或税务机关的公章；依法免税的供应商应提供相关文件证明；</w:t>
      </w:r>
    </w:p>
    <w:p>
      <w:pPr>
        <w:pStyle w:val="null3"/>
      </w:pPr>
      <w:r>
        <w:rPr>
          <w:rFonts w:ascii="仿宋_GB2312" w:hAnsi="仿宋_GB2312" w:cs="仿宋_GB2312" w:eastAsia="仿宋_GB2312"/>
        </w:rPr>
        <w:t>4、社会保障资金缴纳证明：提供投标截止前半年内至少一个月的社会保障资金缴存单据或社保机构开具的社会保险参保缴费情况证明；依法不需要缴纳社会保障资金的供应商应提供相关文件证明；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5、履行合同所必需的设备和专业技术能力：具有履行合同所必需的设备和专业技术能力(由供应商根据项目需求提供说明材料或者承诺)；</w:t>
      </w:r>
    </w:p>
    <w:p>
      <w:pPr>
        <w:pStyle w:val="null3"/>
      </w:pPr>
      <w:r>
        <w:rPr>
          <w:rFonts w:ascii="仿宋_GB2312" w:hAnsi="仿宋_GB2312" w:cs="仿宋_GB2312" w:eastAsia="仿宋_GB2312"/>
        </w:rPr>
        <w:t>6、书面声明：出具参加本次政府采购活动前三年内在经营活动中没有重大违法记录的书面声明。</w:t>
      </w:r>
    </w:p>
    <w:p>
      <w:pPr>
        <w:pStyle w:val="null3"/>
      </w:pPr>
      <w:r>
        <w:rPr>
          <w:rFonts w:ascii="仿宋_GB2312" w:hAnsi="仿宋_GB2312" w:cs="仿宋_GB2312" w:eastAsia="仿宋_GB2312"/>
        </w:rPr>
        <w:t>7、法定代表人身份证明/法定代表人授权书：法定代表人直接参加投标的，须出具法定代表人身份证明；授权代表参加投标的，须出具法定代表人授权书并附法定代表人和被授权人身份证及被授权人社保缴纳证明；</w:t>
      </w:r>
    </w:p>
    <w:p>
      <w:pPr>
        <w:pStyle w:val="null3"/>
      </w:pPr>
      <w:r>
        <w:rPr>
          <w:rFonts w:ascii="仿宋_GB2312" w:hAnsi="仿宋_GB2312" w:cs="仿宋_GB2312" w:eastAsia="仿宋_GB2312"/>
        </w:rPr>
        <w:t>8、信用信息：不得为“信用中国”网站(http://www.creditchina.gov.cn)列入“失信被执行人和重大税收违法失信主体和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9、控股关联关系：单位负责人为同一人或者存在直接控股、管理关系的不同供应商不得参加同一合同项下的政府采购活动；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韩城市住房和城乡规划建设局（本级）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韩城市新兴产业示范基地2号楼8楼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牛小红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0913-5216206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天煜荣泽工程咨询有限公司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陕西省西安市雁塔区太白南路天地源悦熙广场1幢1单元1606室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户工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15129257819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代理服务费收费标准：参照国家发展改革委关于进一步放开建设项目专业服务价格的通知，发改价格【2015】299号文件记取。中标供应商在领取中标通知书前，须向采购代理机构一次性支付代理服务费。 招标代理服务费账户 户名名称：天煜荣泽工程咨询有限公司西安经开分公司 开户银行：中国农业发展银行韩城市支行 账 号：2036 1058 1001 0000 0285 661 请中标供应商按照要求将招标代理服务费转入以上指定账户，如因自身原因发生错误，产生的不利后果均由供应商自行承担。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韩城市住房和城乡规划建设局（本级）</w:t>
      </w:r>
      <w:r>
        <w:rPr>
          <w:rFonts w:ascii="仿宋_GB2312" w:hAnsi="仿宋_GB2312" w:cs="仿宋_GB2312" w:eastAsia="仿宋_GB2312"/>
        </w:rPr>
        <w:t>和</w:t>
      </w:r>
      <w:r>
        <w:rPr>
          <w:rFonts w:ascii="仿宋_GB2312" w:hAnsi="仿宋_GB2312" w:cs="仿宋_GB2312" w:eastAsia="仿宋_GB2312"/>
        </w:rPr>
        <w:t>天煜荣泽工程咨询有限公司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韩城市住房和城乡规划建设局（本级）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天煜荣泽工程咨询有限公司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韩城市住房和城乡规划建设局（本级）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天煜荣泽工程咨询有限公司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韩城市住房和城乡规划建设局（本级）</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联系人：户工</w:t>
      </w:r>
    </w:p>
    <w:p>
      <w:pPr>
        <w:pStyle w:val="null3"/>
      </w:pPr>
      <w:r>
        <w:rPr>
          <w:rFonts w:ascii="仿宋_GB2312" w:hAnsi="仿宋_GB2312" w:cs="仿宋_GB2312" w:eastAsia="仿宋_GB2312"/>
        </w:rPr>
        <w:t>联系电话：15129257819</w:t>
      </w:r>
    </w:p>
    <w:p>
      <w:pPr>
        <w:pStyle w:val="null3"/>
      </w:pPr>
      <w:r>
        <w:rPr>
          <w:rFonts w:ascii="仿宋_GB2312" w:hAnsi="仿宋_GB2312" w:cs="仿宋_GB2312" w:eastAsia="仿宋_GB2312"/>
        </w:rPr>
        <w:t>地址：陕西省西安市雁塔区太白南路天地源悦熙广场1幢1单元1606室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自运营之日起，每年三百六十五（365) 日连续接收并处理粪便，将从各个接收点接收的粪便经处理并达到标准后，处理后的污水免费排放至指定的污水排污口。经过处理后的粪渣、垃圾、废渣经垃圾运输车运输至指定的垃圾填埋场免费倾倒处理。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936,000.00</w:t>
      </w:r>
    </w:p>
    <w:p>
      <w:pPr>
        <w:pStyle w:val="null3"/>
      </w:pPr>
      <w:r>
        <w:rPr>
          <w:rFonts w:ascii="仿宋_GB2312" w:hAnsi="仿宋_GB2312" w:cs="仿宋_GB2312" w:eastAsia="仿宋_GB2312"/>
        </w:rPr>
        <w:t>采购包最高限价（元）: 936,000.00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韩城市有机物处理厂运营项目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标的名称：韩城市有机物处理厂运营项目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1、项目背景</w:t>
            </w:r>
            <w:r>
              <w:rPr>
                <w:rFonts w:ascii="仿宋_GB2312" w:hAnsi="仿宋_GB2312" w:cs="仿宋_GB2312" w:eastAsia="仿宋_GB2312"/>
                <w:sz w:val="28"/>
              </w:rPr>
              <w:t>：韩城市有机物处理厂运营项目是韩城市创卫工作的配套工程，主要针对城区所有公厕化粪池清掏出来的粪便进行脱水固化处理。</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项目名称</w:t>
            </w:r>
            <w:r>
              <w:rPr>
                <w:rFonts w:ascii="仿宋_GB2312" w:hAnsi="仿宋_GB2312" w:cs="仿宋_GB2312" w:eastAsia="仿宋_GB2312"/>
                <w:sz w:val="28"/>
              </w:rPr>
              <w:t>：</w:t>
            </w:r>
            <w:r>
              <w:rPr>
                <w:rFonts w:ascii="仿宋_GB2312" w:hAnsi="仿宋_GB2312" w:cs="仿宋_GB2312" w:eastAsia="仿宋_GB2312"/>
                <w:sz w:val="28"/>
              </w:rPr>
              <w:t>韩城市有机物处理厂运营项目</w:t>
            </w:r>
          </w:p>
          <w:p>
            <w:pPr>
              <w:pStyle w:val="null3"/>
              <w:ind w:firstLine="562"/>
              <w:jc w:val="both"/>
            </w:pP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color w:val="000000"/>
              </w:rPr>
              <w:t>项目概况</w:t>
            </w:r>
          </w:p>
          <w:p>
            <w:pPr>
              <w:pStyle w:val="null3"/>
              <w:ind w:firstLine="560"/>
              <w:jc w:val="both"/>
            </w:pPr>
            <w:r>
              <w:rPr>
                <w:rFonts w:ascii="仿宋_GB2312" w:hAnsi="仿宋_GB2312" w:cs="仿宋_GB2312" w:eastAsia="仿宋_GB2312"/>
                <w:sz w:val="28"/>
              </w:rPr>
              <w:t>自运营之日起，每年三百六十五（</w:t>
            </w:r>
            <w:r>
              <w:rPr>
                <w:rFonts w:ascii="仿宋_GB2312" w:hAnsi="仿宋_GB2312" w:cs="仿宋_GB2312" w:eastAsia="仿宋_GB2312"/>
                <w:sz w:val="28"/>
              </w:rPr>
              <w:t>365) 日连续接收并处理粪便，将从各个接收点接收的粪便经处理并达到标准后，处理后的污水免费排放至指定的污水排污口。经过处理后的粪渣、垃圾、废渣经垃圾运输车运输至指定的垃圾填埋场免费倾倒处理。</w:t>
            </w:r>
          </w:p>
          <w:p>
            <w:pPr>
              <w:pStyle w:val="null3"/>
              <w:jc w:val="center"/>
            </w:pPr>
            <w:r>
              <w:rPr>
                <w:rFonts w:ascii="仿宋_GB2312" w:hAnsi="仿宋_GB2312" w:cs="仿宋_GB2312" w:eastAsia="仿宋_GB2312"/>
                <w:sz w:val="24"/>
              </w:rPr>
              <w:t>韩城市公厕收集点位信息</w:t>
            </w:r>
          </w:p>
          <w:tbl>
            <w:tblPr>
              <w:tblBorders>
                <w:top w:val="none" w:color="000000" w:sz="4"/>
                <w:left w:val="none" w:color="000000" w:sz="4"/>
                <w:bottom w:val="none" w:color="000000" w:sz="4"/>
                <w:right w:val="none" w:color="000000" w:sz="4"/>
                <w:insideH w:val="none"/>
                <w:insideV w:val="none"/>
              </w:tblBorders>
            </w:tblPr>
            <w:tblGrid>
              <w:gridCol w:w="800"/>
              <w:gridCol w:w="951"/>
              <w:gridCol w:w="796"/>
            </w:tblGrid>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一中公厕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原市医院公厕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金塔公园公厕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金塔天汇公厕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韩塬路公厕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信访局公厕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三小公厕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国阳公厕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农林执法局公厕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电厂小区北门公厕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人民路公厕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客运站公厕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普照路公厕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电焊街公厕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涺阳半坡移动公厕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黄河大街移动公厕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建材市场移动公厕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东闸口移动公厕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水司公厕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香山夜市公厕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状元街小花园公厕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象中学校西公厕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西环路莲池公厕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南关菜市场公厕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西街口公厕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东环教堂对面公厕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隍庙广场移动公厕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陵园路移动公厕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天桥商场移动公厕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南关停车场移动公厕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机动备用移动公厕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金城区</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人力资源公厕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复兴路半坡移动公厕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盘乐路公厕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惠丰园公厕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秦晋大道公厕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民杨医院公厕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太史大街公厕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禹甸园公厕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世纪新村公厕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民杨夜市公厕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桥南路公厕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韩塬路公厕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太史大街与桢州大街东北移动公厕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桢州大街人力资源南</w:t>
                  </w:r>
                  <w:r>
                    <w:rPr>
                      <w:rFonts w:ascii="仿宋_GB2312" w:hAnsi="仿宋_GB2312" w:cs="仿宋_GB2312" w:eastAsia="仿宋_GB2312"/>
                      <w:sz w:val="24"/>
                    </w:rPr>
                    <w:t>100米移动公厕</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color w:val="000000"/>
              </w:rPr>
              <w:t>服务期限：</w:t>
            </w:r>
            <w:r>
              <w:rPr>
                <w:rFonts w:ascii="仿宋_GB2312" w:hAnsi="仿宋_GB2312" w:cs="仿宋_GB2312" w:eastAsia="仿宋_GB2312"/>
                <w:sz w:val="28"/>
              </w:rPr>
              <w:t>自合同签订之日起</w:t>
            </w:r>
            <w:r>
              <w:rPr>
                <w:rFonts w:ascii="仿宋_GB2312" w:hAnsi="仿宋_GB2312" w:cs="仿宋_GB2312" w:eastAsia="仿宋_GB2312"/>
                <w:sz w:val="28"/>
              </w:rPr>
              <w:t>3年，本项目采取一次招标、三年沿用，合同实行分年度签订，一年一签。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自合同签订之日起3年，本项目采取一次招标、三年沿用，合同实行分年度签订，一年一签。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合同签订且完成第一季度工作任务后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完成第二季度工作任务后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完成第三季度工作任务后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完成第四季度工作任务后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提供投标截止前半年内至少一个月的纳税凭证或完税证明（任意税种），完税证明上应有代收机构或税务机关的公章；依法免税的供应商应提供相关文件证明；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提供投标截止前半年内至少一个月的社会保障资金缴存单据或社保机构开具的社会保险参保缴费情况证明；依法不需要缴纳社会保障资金的供应商应提供相关文件证明；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法定代表人直接参加投标的，须出具法定代表人身份证明；授权代表参加投标的，须出具法定代表人授权书并附法定代表人和被授权人身份证及被授权人社保缴纳证明；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不得为“信用中国”网站(http://www.creditchina.gov.cn)列入“失信被执行人和重大税收违法失信主体和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类似项目业绩一览表.docx 中小企业声明函 商务应答表 供应商应提交的相关资格证明材料 报价表 资格证明文件.docx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磋商响应文件的组成</w:t>
            </w:r>
          </w:p>
        </w:tc>
        <w:tc>
          <w:tcPr>
            <w:tcW w:type="dxa" w:w="3322"/>
          </w:tcPr>
          <w:p>
            <w:pPr>
              <w:pStyle w:val="null3"/>
            </w:pPr>
            <w:r>
              <w:rPr>
                <w:rFonts w:ascii="仿宋_GB2312" w:hAnsi="仿宋_GB2312" w:cs="仿宋_GB2312" w:eastAsia="仿宋_GB2312"/>
              </w:rPr>
              <w:t>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类似项目业绩一览表.docx 中小企业声明函 商务应答表 供应商应提交的相关资格证明材料 报价表 资格证明文件.docx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签字盖章符合竞争性磋商文件的要求，无遗漏</w:t>
            </w:r>
          </w:p>
        </w:tc>
        <w:tc>
          <w:tcPr>
            <w:tcW w:type="dxa" w:w="1661"/>
          </w:tcPr>
          <w:p>
            <w:pPr>
              <w:pStyle w:val="null3"/>
            </w:pPr>
            <w:r>
              <w:rPr>
                <w:rFonts w:ascii="仿宋_GB2312" w:hAnsi="仿宋_GB2312" w:cs="仿宋_GB2312" w:eastAsia="仿宋_GB2312"/>
              </w:rPr>
              <w:t>服务内容及服务邀请应答表 类似项目业绩一览表.docx 中小企业声明函 商务应答表 供应商应提交的相关资格证明材料 报价表 资格证明文件.docx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总体运营方案</w:t>
            </w:r>
          </w:p>
        </w:tc>
        <w:tc>
          <w:tcPr>
            <w:tcW w:type="dxa" w:w="2492"/>
          </w:tcPr>
          <w:p>
            <w:pPr>
              <w:pStyle w:val="null3"/>
            </w:pPr>
            <w:r>
              <w:rPr>
                <w:rFonts w:ascii="仿宋_GB2312" w:hAnsi="仿宋_GB2312" w:cs="仿宋_GB2312" w:eastAsia="仿宋_GB2312"/>
              </w:rPr>
              <w:t>内容至少包括①运营服务方案；②运营服务保证措施；③运营服务目标等。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对项目的需求理解</w:t>
            </w:r>
          </w:p>
        </w:tc>
        <w:tc>
          <w:tcPr>
            <w:tcW w:type="dxa" w:w="2492"/>
          </w:tcPr>
          <w:p>
            <w:pPr>
              <w:pStyle w:val="null3"/>
            </w:pPr>
            <w:r>
              <w:rPr>
                <w:rFonts w:ascii="仿宋_GB2312" w:hAnsi="仿宋_GB2312" w:cs="仿宋_GB2312" w:eastAsia="仿宋_GB2312"/>
              </w:rPr>
              <w:t>内容至少包括①对项目背景、目标和内容的理解准确、认识深刻透彻；②对项目的重点、难点分析准确、合理；以上内容专门针对本项目且符合本项目实际需求的得10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内容至少包括①团队组织人员配置明细；②团队人员管理制度；③团队人员职责等。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内容至少包括①设施设备配置清单；②设施设备维修保障方案；③设备配置应急预案等。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包括①恶劣天气预案；②突发公共卫生事件预案等。以上内容专门针对本项目且符合本项目实际需求的得5分，每缺一项内容扣2.5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服务承诺及培训</w:t>
            </w:r>
          </w:p>
        </w:tc>
        <w:tc>
          <w:tcPr>
            <w:tcW w:type="dxa" w:w="2492"/>
          </w:tcPr>
          <w:p>
            <w:pPr>
              <w:pStyle w:val="null3"/>
            </w:pPr>
            <w:r>
              <w:rPr>
                <w:rFonts w:ascii="仿宋_GB2312" w:hAnsi="仿宋_GB2312" w:cs="仿宋_GB2312" w:eastAsia="仿宋_GB2312"/>
              </w:rPr>
              <w:t>内容至少包括①积极配合采购人服务要求;②售后服务承诺;③培训方案等。以上内容专门针对本项目且符合本项目实际需求的得6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供应商提供近2022年1月至今类似项目业绩合同或者中标通知书，每提供一个得2分，满分4分；（注：业绩证明材料无日期不得分）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报价得分=(评标基准价／投标报价)×30%*100 注：1、计算分数时四舍五入取小数点后两位； 2、投标报价超过本项目最高限价的作废标处理； 经评审被废标的报价，不进入价格分进行计算。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