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版本号：华春（2026）HCDZ000620260125001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韩城市国民经济和社会发展第十五个五年规划纲要编制项目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华春（2026）HCDZ0006</w:t>
      </w:r>
      <w:r>
        <w:br/>
      </w:r>
      <w:r>
        <w:br/>
      </w:r>
      <w:r>
        <w:br/>
      </w:r>
    </w:p>
    <w:p>
      <w:pPr>
        <w:pStyle w:val="null3"/>
        <w:jc w:val="center"/>
        <w:outlineLvl w:val="2"/>
      </w:pPr>
      <w:r>
        <w:rPr>
          <w:rFonts w:ascii="仿宋_GB2312" w:hAnsi="仿宋_GB2312" w:cs="仿宋_GB2312" w:eastAsia="仿宋_GB2312"/>
          <w:sz w:val="28"/>
          <w:b/>
        </w:rPr>
        <w:t>韩城市发展和改革委员会（本级）</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韩城市发展和改革委员会（本级）</w:t>
      </w:r>
      <w:r>
        <w:rPr>
          <w:rFonts w:ascii="仿宋_GB2312" w:hAnsi="仿宋_GB2312" w:cs="仿宋_GB2312" w:eastAsia="仿宋_GB2312"/>
        </w:rPr>
        <w:t>委托，拟对</w:t>
      </w:r>
      <w:r>
        <w:rPr>
          <w:rFonts w:ascii="仿宋_GB2312" w:hAnsi="仿宋_GB2312" w:cs="仿宋_GB2312" w:eastAsia="仿宋_GB2312"/>
        </w:rPr>
        <w:t>韩城市国民经济和社会发展第十五个五年规划纲要编制项目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华春（2026）HCDZ0006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韩城市国民经济和社会发展第十五个五年规划纲要编制项目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立足韩城市实际，科学谋划韩城市未来五年发展方向及举措，科学谋划韩城市未来五年高质量发展指导方针、主要目标指标、重大任务举措、重大工程项目，形成《韩城市国民经济和社会发展第十五个五年规划纲要》文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采购包1（韩城市国民经济和社会发展第十五个五年规划纲要编制项目）：属于专门面向中小企业采购。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供2024年度的经审计的财务审计报告（成立时间至提交磋商响应文件截止时间不足一年的可提供成立后任意时段的资产负债表），或其基本存款账户开户银行出具的资信证明及基本存款账户开户许可证（基本账户信息表）；（注：各供应商经审计的财务审计报告需赋加二维码）</w:t>
      </w:r>
    </w:p>
    <w:p>
      <w:pPr>
        <w:pStyle w:val="null3"/>
      </w:pPr>
      <w:r>
        <w:rPr>
          <w:rFonts w:ascii="仿宋_GB2312" w:hAnsi="仿宋_GB2312" w:cs="仿宋_GB2312" w:eastAsia="仿宋_GB2312"/>
        </w:rPr>
        <w:t>3、税收缴纳证明：提供2025年8月至今已缴纳的至少一个月的纳税证明或完税证明（任意税种），依法免税的单位应提供相关证明材料；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5、社会保障资金缴纳证明：提供2025年8月至今已缴存的至少一个月的社会保障资金缴存单据或社保机构开具的社会保险参保缴费情况证明，依法不需要缴纳社会保障资金的单位应提供相关证明材料；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6、履行合同所必需的设备和专业技术能力：提供具有履行合同所必需的设备和专业技术能力的承诺；</w:t>
      </w:r>
    </w:p>
    <w:p>
      <w:pPr>
        <w:pStyle w:val="null3"/>
      </w:pPr>
      <w:r>
        <w:rPr>
          <w:rFonts w:ascii="仿宋_GB2312" w:hAnsi="仿宋_GB2312" w:cs="仿宋_GB2312" w:eastAsia="仿宋_GB2312"/>
        </w:rPr>
        <w:t>7、前三年无重大违法记录声明：参加政府采购活动前三年内，在经营活动中没有重大违法记录的书面声明；</w:t>
      </w:r>
    </w:p>
    <w:p>
      <w:pPr>
        <w:pStyle w:val="null3"/>
      </w:pPr>
      <w:r>
        <w:rPr>
          <w:rFonts w:ascii="仿宋_GB2312" w:hAnsi="仿宋_GB2312" w:cs="仿宋_GB2312" w:eastAsia="仿宋_GB2312"/>
        </w:rPr>
        <w:t>8、法定代表人身份证明和法定代表人授权委托书：法定代表人直接负责投标的，须在磋商文件中提供法定代表人身份证明；法定代表人授权代表负责投标的，须在磋商文件中提供法定代表人身份证明和法定代表人授权委托书。非法人单位参照执行；</w:t>
      </w:r>
    </w:p>
    <w:p>
      <w:pPr>
        <w:pStyle w:val="null3"/>
      </w:pPr>
      <w:r>
        <w:rPr>
          <w:rFonts w:ascii="仿宋_GB2312" w:hAnsi="仿宋_GB2312" w:cs="仿宋_GB2312" w:eastAsia="仿宋_GB2312"/>
        </w:rPr>
        <w:t>9、信用记录：供应商在递交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10、本项目不接受联合体磋商：本项目不接受联合体磋商。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陕西省韩城市太史大街政府2号楼6楼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0913-5213153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18049435493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0913-5213912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代理服务费收费标准：代理服务费参照国家发改委文件计价格〔2002〕1980号及发改价格〔2011〕534号文件下浮20%计取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韩城市发展和改革委员会（本级）</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韩城市发展和改革委员会（本级）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韩城市发展和改革委员会（本级）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联系人：王文健</w:t>
      </w:r>
    </w:p>
    <w:p>
      <w:pPr>
        <w:pStyle w:val="null3"/>
      </w:pPr>
      <w:r>
        <w:rPr>
          <w:rFonts w:ascii="仿宋_GB2312" w:hAnsi="仿宋_GB2312" w:cs="仿宋_GB2312" w:eastAsia="仿宋_GB2312"/>
        </w:rPr>
        <w:t>联系电话：18049435493</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立足韩城市实际，科学谋划韩城市未来五年发展方向及举措，科学谋划韩城市未来五年高质量发展指导方针、主要目标指标、重大任务举措、重大工程项目，形成《韩城市国民经济和社会发展第十五个五年规划纲要》文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韩城市国民经济和社会发展第十五个五年规划纲要编制项目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标的名称：韩城市国民经济和社会发展第十五个五年规划纲要编制项目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0"/>
              <w:jc w:val="both"/>
            </w:pPr>
            <w:r>
              <w:rPr>
                <w:rFonts w:ascii="仿宋_GB2312" w:hAnsi="仿宋_GB2312" w:cs="仿宋_GB2312" w:eastAsia="仿宋_GB2312"/>
                <w:sz w:val="22"/>
              </w:rPr>
              <w:t>一、项目概况</w:t>
            </w:r>
          </w:p>
          <w:p>
            <w:pPr>
              <w:pStyle w:val="null3"/>
              <w:ind w:firstLine="440"/>
              <w:jc w:val="both"/>
            </w:pPr>
            <w:r>
              <w:rPr>
                <w:rFonts w:ascii="仿宋_GB2312" w:hAnsi="仿宋_GB2312" w:cs="仿宋_GB2312" w:eastAsia="仿宋_GB2312"/>
              </w:rPr>
              <w:t>立足韩城</w:t>
            </w:r>
            <w:r>
              <w:rPr>
                <w:rFonts w:ascii="仿宋_GB2312" w:hAnsi="仿宋_GB2312" w:cs="仿宋_GB2312" w:eastAsia="仿宋_GB2312"/>
              </w:rPr>
              <w:t>市</w:t>
            </w:r>
            <w:r>
              <w:rPr>
                <w:rFonts w:ascii="仿宋_GB2312" w:hAnsi="仿宋_GB2312" w:cs="仿宋_GB2312" w:eastAsia="仿宋_GB2312"/>
              </w:rPr>
              <w:t>实际，科学谋划</w:t>
            </w:r>
            <w:r>
              <w:rPr>
                <w:rFonts w:ascii="仿宋_GB2312" w:hAnsi="仿宋_GB2312" w:cs="仿宋_GB2312" w:eastAsia="仿宋_GB2312"/>
              </w:rPr>
              <w:t>韩城市</w:t>
            </w:r>
            <w:r>
              <w:rPr>
                <w:rFonts w:ascii="仿宋_GB2312" w:hAnsi="仿宋_GB2312" w:cs="仿宋_GB2312" w:eastAsia="仿宋_GB2312"/>
              </w:rPr>
              <w:t>未来五年发展方向及举措，科学谋划</w:t>
            </w:r>
            <w:r>
              <w:rPr>
                <w:rFonts w:ascii="仿宋_GB2312" w:hAnsi="仿宋_GB2312" w:cs="仿宋_GB2312" w:eastAsia="仿宋_GB2312"/>
              </w:rPr>
              <w:t>韩城市</w:t>
            </w:r>
            <w:r>
              <w:rPr>
                <w:rFonts w:ascii="仿宋_GB2312" w:hAnsi="仿宋_GB2312" w:cs="仿宋_GB2312" w:eastAsia="仿宋_GB2312"/>
              </w:rPr>
              <w:t>未来五年高质量发展指导方针、主要目标指标、重大任务举措、重大工程项目，形成《韩城市国民经济和社会发展第十五个五年规划纲要》文本</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二、服务内容</w:t>
            </w:r>
          </w:p>
          <w:p>
            <w:pPr>
              <w:pStyle w:val="null3"/>
              <w:ind w:firstLine="482"/>
              <w:jc w:val="left"/>
            </w:pPr>
            <w:r>
              <w:rPr>
                <w:rFonts w:ascii="仿宋_GB2312" w:hAnsi="仿宋_GB2312" w:cs="仿宋_GB2312" w:eastAsia="仿宋_GB2312"/>
              </w:rPr>
              <w:t>供应商需在服务期限内，按照采购人要求的时间节点和主题内容，编制</w:t>
            </w:r>
            <w:r>
              <w:rPr>
                <w:rFonts w:ascii="仿宋_GB2312" w:hAnsi="仿宋_GB2312" w:cs="仿宋_GB2312" w:eastAsia="仿宋_GB2312"/>
              </w:rPr>
              <w:t>韩城</w:t>
            </w:r>
            <w:r>
              <w:rPr>
                <w:rFonts w:ascii="仿宋_GB2312" w:hAnsi="仿宋_GB2312" w:cs="仿宋_GB2312" w:eastAsia="仿宋_GB2312"/>
              </w:rPr>
              <w:t>市</w:t>
            </w:r>
            <w:r>
              <w:rPr>
                <w:rFonts w:ascii="仿宋_GB2312" w:hAnsi="仿宋_GB2312" w:cs="仿宋_GB2312" w:eastAsia="仿宋_GB2312"/>
              </w:rPr>
              <w:t>“十五五”国民经济和社会发展规划纲要。</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1）总体规划是以国民经济和社会发展为对象编制的综合性和纲领性规划，是编制专项规划以及制定年度计划和各项政策的依据。规划编制应全面总结</w:t>
            </w:r>
            <w:r>
              <w:rPr>
                <w:rFonts w:ascii="仿宋_GB2312" w:hAnsi="仿宋_GB2312" w:cs="仿宋_GB2312" w:eastAsia="仿宋_GB2312"/>
              </w:rPr>
              <w:t>韩城</w:t>
            </w:r>
            <w:r>
              <w:rPr>
                <w:rFonts w:ascii="仿宋_GB2312" w:hAnsi="仿宋_GB2312" w:cs="仿宋_GB2312" w:eastAsia="仿宋_GB2312"/>
              </w:rPr>
              <w:t>市</w:t>
            </w:r>
            <w:r>
              <w:rPr>
                <w:rFonts w:ascii="仿宋_GB2312" w:hAnsi="仿宋_GB2312" w:cs="仿宋_GB2312" w:eastAsia="仿宋_GB2312"/>
              </w:rPr>
              <w:t>“十四五”时期经济社会发展的成效和经验，深入分析“十五五”时期面临的形势和挑战，明确发展的指导思想、基本原则、主要目标、重点任务和保障措施等。</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2）规划内容包括但不限于以下方面：发展基础调研、发展环境梳理、指导思想把握、主要目标设定、发展布局规划、重大项目安排、重点任务策划等。</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3）供应商提交具体编制内容包括但不限于以下方面：发展基础与面临形势、发展思路与总体要求、主要任务与重点项目、空间布局、发展路径、保障措施等。</w:t>
            </w:r>
          </w:p>
          <w:p>
            <w:pPr>
              <w:pStyle w:val="null3"/>
              <w:ind w:firstLine="440"/>
              <w:jc w:val="both"/>
            </w:pPr>
            <w:r>
              <w:rPr>
                <w:rFonts w:ascii="仿宋_GB2312" w:hAnsi="仿宋_GB2312" w:cs="仿宋_GB2312" w:eastAsia="仿宋_GB2312"/>
                <w:sz w:val="22"/>
              </w:rPr>
              <w:t>三、服务要求</w:t>
            </w:r>
          </w:p>
          <w:p>
            <w:pPr>
              <w:pStyle w:val="null3"/>
              <w:ind w:firstLine="480"/>
              <w:jc w:val="left"/>
            </w:pPr>
            <w:r>
              <w:rPr>
                <w:rFonts w:ascii="仿宋_GB2312" w:hAnsi="仿宋_GB2312" w:cs="仿宋_GB2312" w:eastAsia="仿宋_GB2312"/>
                <w:sz w:val="22"/>
              </w:rPr>
              <w:t>（</w:t>
            </w:r>
            <w:r>
              <w:rPr>
                <w:rFonts w:ascii="仿宋_GB2312" w:hAnsi="仿宋_GB2312" w:cs="仿宋_GB2312" w:eastAsia="仿宋_GB2312"/>
              </w:rPr>
              <w:t>1）</w:t>
            </w:r>
            <w:r>
              <w:rPr>
                <w:rFonts w:ascii="仿宋_GB2312" w:hAnsi="仿宋_GB2312" w:cs="仿宋_GB2312" w:eastAsia="仿宋_GB2312"/>
              </w:rPr>
              <w:t>人员配置方面，供应商须成立专门的人员团队，明确岗位职责。</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根据相关标准、规范及采购人的服务要求，保质保量完成工作；</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严格按照采购人要求的时间进度安排完成各时间段内各项工作</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供应商须承担与此有关的技术情报和数据资料的保密责任。与本项目有关的资料及数据成果中涉及国家秘密的内容，均要求按照《国家保密法》及相关法律法规执行。</w:t>
            </w:r>
          </w:p>
          <w:p>
            <w:pPr>
              <w:pStyle w:val="null3"/>
              <w:ind w:firstLine="440"/>
              <w:jc w:val="both"/>
            </w:pPr>
            <w:r>
              <w:rPr>
                <w:rFonts w:ascii="仿宋_GB2312" w:hAnsi="仿宋_GB2312" w:cs="仿宋_GB2312" w:eastAsia="仿宋_GB2312"/>
                <w:sz w:val="22"/>
              </w:rPr>
              <w:t>四</w:t>
            </w:r>
            <w:r>
              <w:rPr>
                <w:rFonts w:ascii="仿宋_GB2312" w:hAnsi="仿宋_GB2312" w:cs="仿宋_GB2312" w:eastAsia="仿宋_GB2312"/>
                <w:sz w:val="22"/>
              </w:rPr>
              <w:t>、服务期限</w:t>
            </w:r>
          </w:p>
          <w:p>
            <w:pPr>
              <w:pStyle w:val="null3"/>
            </w:pPr>
            <w:r>
              <w:rPr>
                <w:rFonts w:ascii="仿宋_GB2312" w:hAnsi="仿宋_GB2312" w:cs="仿宋_GB2312" w:eastAsia="仿宋_GB2312"/>
                <w:sz w:val="21"/>
              </w:rPr>
              <w:t>自合同签订之日起一年。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项目人员需满足项目服务工作开展需求。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服务标准：本项目服务标准遵循国家、行业现行有效的法律法规、强制性标准及规范性文件。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乙方向甲方提交《韩城市国民经济和社会发展第十五个五年规划纲要编制项目》初稿后伍(5)个工作日内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乙方向甲方提交《韩城市国民经济和社会发展第十五个五年规划纲要编制项目》正式报告后伍(5)个工作日内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在《韩城市国民经济和社会发展第十五个五年规划纲要编制项目》报告经市政府相关审议通过后伍(5)个工作日内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因执行本合同所发生的或与本合同有关的一切争议，双方应通过友好协商解决，如双方通过协商不能达成一致时，向有管辖权的法院提起诉讼。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租赁和商务服务业。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2024年度的经审计的财务审计报告（成立时间至提交磋商响应文件截止时间不足一年的可提供成立后任意时段的资产负债表），或其基本存款账户开户银行出具的资信证明及基本存款账户开户许可证（基本账户信息表）；（注：各供应商经审计的财务审计报告需赋加二维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提供2025年8月至今已缴纳的至少一个月的纳税证明或完税证明（任意税种），依法免税的单位应提供相关证明材料；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法定代表人身份证明和法定代表人授权委托书</w:t>
            </w:r>
          </w:p>
        </w:tc>
        <w:tc>
          <w:tcPr>
            <w:tcW w:type="dxa" w:w="3322"/>
          </w:tcPr>
          <w:p>
            <w:pPr>
              <w:pStyle w:val="null3"/>
            </w:pPr>
            <w:r>
              <w:rPr>
                <w:rFonts w:ascii="仿宋_GB2312" w:hAnsi="仿宋_GB2312" w:cs="仿宋_GB2312" w:eastAsia="仿宋_GB2312"/>
              </w:rPr>
              <w:t>法定代表人直接负责投标的，须在磋商文件中提供法定代表人身份证明；法定代表人授权代表负责投标的，须在磋商文件中提供法定代表人身份证明和法定代表人授权委托书。非法人单位参照执行；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按竞争性磋商文件要求签署、加盖印章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对“服务地点、付款方式”等实质性内容进行响 应且未附加采购人难以接受的条件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对项目的总体理解及认识</w:t>
            </w:r>
          </w:p>
        </w:tc>
        <w:tc>
          <w:tcPr>
            <w:tcW w:type="dxa" w:w="2492"/>
          </w:tcPr>
          <w:p>
            <w:pPr>
              <w:pStyle w:val="null3"/>
            </w:pPr>
            <w:r>
              <w:rPr>
                <w:rFonts w:ascii="仿宋_GB2312" w:hAnsi="仿宋_GB2312" w:cs="仿宋_GB2312" w:eastAsia="仿宋_GB2312"/>
              </w:rPr>
              <w:t>供应商提供对项目的总体理解及认识。 对项目总体的认识准确，理解到位得6 分； 对项目的总体的认识较为准确，理解到位，得 5 分； 对项目的总体的认识基本准确，理解基本到位，得 4 分；对项目的总体的认识基本准确，理解不到位，得 3 分； 对项目的总体的认识宽泛，理解不到位，得 2 分； 对项目的总体的认识不准确，得 1 分； 无相关内容描述不得分。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根据供应商针对本项目的实施服务方案系统、完整进行评分，实施服务方案包括项目①实施目标、②服务内容任务分解、③成果产出等内容。 每个单项内容完整、思路明晰合理、科学、实用、针对性强得 5 分； 每个单项内容相对完整、思路相对明晰合理、科学、实用、针对性较强得4 分； 每个单项内容比较完整、思路比较明晰、有一定的针对性得3 分 每个单项内容相对简单、思路简单，针对性有待商榷得2 分 每个单项方案内容不够完整、思路不够明晰合理、针对性相对差得 1 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基础数据收集整理方案</w:t>
            </w:r>
          </w:p>
        </w:tc>
        <w:tc>
          <w:tcPr>
            <w:tcW w:type="dxa" w:w="2492"/>
          </w:tcPr>
          <w:p>
            <w:pPr>
              <w:pStyle w:val="null3"/>
            </w:pPr>
            <w:r>
              <w:rPr>
                <w:rFonts w:ascii="仿宋_GB2312" w:hAnsi="仿宋_GB2312" w:cs="仿宋_GB2312" w:eastAsia="仿宋_GB2312"/>
              </w:rPr>
              <w:t>根据本项目采购需求并结合项目实际，制定基础数据收集整理方案；方案得当、合理、规范，可行性强得 6 分； 方案比较合理和规范，有一定的可行性得 5 分； 方案比较合理，有可行性得4 分； 方案基本合理，可行性不强得 3 分； 方案基本合理，可行性一般得 2 分； 方案有缺漏，可行性差得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项目进度保证措施</w:t>
            </w:r>
          </w:p>
        </w:tc>
        <w:tc>
          <w:tcPr>
            <w:tcW w:type="dxa" w:w="2492"/>
          </w:tcPr>
          <w:p>
            <w:pPr>
              <w:pStyle w:val="null3"/>
            </w:pPr>
            <w:r>
              <w:rPr>
                <w:rFonts w:ascii="仿宋_GB2312" w:hAnsi="仿宋_GB2312" w:cs="仿宋_GB2312" w:eastAsia="仿宋_GB2312"/>
              </w:rPr>
              <w:t>供应商针对采购需求有明确的进度安排和合理的服务计划保证措施: 有科学合理明确的工作进度计划，工作进度计划与实际需求的契合度高，时间节点把控清晰明确，对工作推进指导性强，得 6 分； 具有科学合理工作进度计划，工作进度计划与实际需求的契合度相对较高，时间节点把控准确，对工作推进指导性强，得 5分； 具有相对科学合理的工作进度计划，工作进度计划与实际需求的契合度相对合理，时间节点把控相对准确，对工作推进指导性较强，得 4分； 工作进度计划比较符合实际需求，有相关时间节点的把控要求，对工作推进有一定的指导性，得 3分； 工作进度计划基本符合实际需求，相关时间节点的把控要求基本准确，对工作推进相对有指导性，得 2分； 工作进度计划措施与项目实际需求不符， 内容粗略得 1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对能够完成本项目工作的服务承诺，包括不限于①方案调整、②服务保证、 ③工作效率等。 以上内容每一项均有详细且针对性的说明得6 分。 每缺一项内容的描述扣 2 分； 以上内容仅有描述但不够完善的，每有一项扣 1 分；无相关</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供应商根据在服务过程中可能发生的特殊情况制定具有可操作性的应急处置措施： 措施内容科学具体，有针对性强，得 6 分； 措施内容比较具体，针对性较强，得 5 分； 措施内容相对具体，针对性相对较强，得 4 分； 措施内容基本具体，有一定指导性，得 3 分； 措施内容不够具体，得 2 分； 措施内容有缺漏，得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工作重、难点分析及解决</w:t>
            </w:r>
          </w:p>
        </w:tc>
        <w:tc>
          <w:tcPr>
            <w:tcW w:type="dxa" w:w="2492"/>
          </w:tcPr>
          <w:p>
            <w:pPr>
              <w:pStyle w:val="null3"/>
            </w:pPr>
            <w:r>
              <w:rPr>
                <w:rFonts w:ascii="仿宋_GB2312" w:hAnsi="仿宋_GB2312" w:cs="仿宋_GB2312" w:eastAsia="仿宋_GB2312"/>
              </w:rPr>
              <w:t>供应商提供针对本项目工作重点、难点分析及解决方案， 对重点、难点分析准确，解决方案针对性强的得 5 分； 对重点、难点分析较准确、提出的解决方案有一定的针对性和可行性的得4 分； 对重点、难点分析基本准确，解决方案有一定的针对性和可行性的得 3分； 对重点、难点分析与项目实际情况存在偏离，部分解决方案的可行和合理的得 2 分； 对重点、难点有分析不准确，解决方案合理性、可行性差的得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组织协调措施</w:t>
            </w:r>
          </w:p>
        </w:tc>
        <w:tc>
          <w:tcPr>
            <w:tcW w:type="dxa" w:w="2492"/>
          </w:tcPr>
          <w:p>
            <w:pPr>
              <w:pStyle w:val="null3"/>
            </w:pPr>
            <w:r>
              <w:rPr>
                <w:rFonts w:ascii="仿宋_GB2312" w:hAnsi="仿宋_GB2312" w:cs="仿宋_GB2312" w:eastAsia="仿宋_GB2312"/>
              </w:rPr>
              <w:t>针对本项目有具体、可行的组织协调措施，能很好的配合有关部门完成各项工作。 措施内容科学具体，针对性强，得 5 分； 措施内容相对科学具体，针对性较强，得 4分； 措施内容较具体，有一定的针对性，得 3分； 措施内容一般，有针对性，得 2 分； 措施内容笼统，无针对性，得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结合本项目实际情况，有详细完整的保密措施。措施详细完整、可行性、针对性强，得 5分； 措施比较详细、可行性、针对性较强，得 4 分； 措施相对详细、可行性、针对性相对较强，得 3 分； 措施基本完整，有一定的可行性及针对性，得2 分； 2 分； 措施简单，笼统，得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对本项目实际需求，提供实质性的合理化建议。 建议内容科学可行，有针对性且内容丰富，得 5 分；建议内容较为可行，有一定的针对性，得 4 分； 建议内容基本可行，具有针对性，得 3 分； 建议内容简单，有待完善、针对性有待考究，得 2 分； 建议内容笼统，不完整、需要补充后方可使用，得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供应商提供2023年1月1日至响应文件递交截止时间内的类似业绩，每提供一项单个合同项目得4分，累计最多得20分。 注 ：以响应文件中所附的加盖公章的业绩合同复印件为准，时间以合同签订时间为准；未提供业绩证明资料、业绩证明资料未显示时间、业绩证明资料显示时间不符合要求者不得分。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1.满足磋商文件实质性要求且最后报价最低的供应商磋商总报价为磋商基准价，其价格分为满分15分。 2.报价得分=（评审基准价/磋商总报价）×15。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详见附件：韩城市“十五五”采购合同.docx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