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3DAE7">
      <w:pPr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应急措施</w:t>
      </w:r>
      <w:bookmarkStart w:id="0" w:name="_GoBack"/>
      <w:bookmarkEnd w:id="0"/>
    </w:p>
    <w:p w14:paraId="69A77206">
      <w:pPr>
        <w:rPr>
          <w:rFonts w:hint="eastAsia" w:eastAsiaTheme="minorEastAsia"/>
          <w:b w:val="0"/>
          <w:bCs w:val="0"/>
          <w:sz w:val="28"/>
          <w:szCs w:val="36"/>
          <w:lang w:eastAsia="zh-CN"/>
        </w:rPr>
      </w:pPr>
    </w:p>
    <w:p w14:paraId="07F94B4C">
      <w:r>
        <w:rPr>
          <w:rFonts w:hint="eastAsia" w:eastAsiaTheme="minorEastAsia"/>
          <w:b w:val="0"/>
          <w:bCs w:val="0"/>
          <w:sz w:val="28"/>
          <w:szCs w:val="36"/>
          <w:lang w:eastAsia="zh-CN"/>
        </w:rPr>
        <w:t>注：供应商根据评审标准自行编制。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34F940DC"/>
    <w:rsid w:val="46144318"/>
    <w:rsid w:val="516E3403"/>
    <w:rsid w:val="7605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2026-02-09T03:20:48Z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