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51339">
      <w:pPr>
        <w:pStyle w:val="5"/>
        <w:shd w:val="clear" w:color="auto" w:fill="auto"/>
        <w:rPr>
          <w:rFonts w:hint="eastAsia" w:ascii="宋体" w:hAnsi="宋体" w:cs="宋体"/>
          <w:highlight w:val="none"/>
        </w:rPr>
      </w:pPr>
    </w:p>
    <w:p w14:paraId="6C7EE203">
      <w:pPr>
        <w:rPr>
          <w:rFonts w:hint="eastAsia" w:ascii="宋体" w:hAnsi="宋体" w:cs="宋体"/>
          <w:highlight w:val="none"/>
        </w:rPr>
      </w:pPr>
    </w:p>
    <w:p w14:paraId="0F4123E2">
      <w:pPr>
        <w:rPr>
          <w:rFonts w:hint="eastAsia" w:ascii="宋体" w:hAnsi="宋体" w:cs="宋体"/>
          <w:highlight w:val="none"/>
        </w:rPr>
      </w:pPr>
    </w:p>
    <w:p w14:paraId="64A14180">
      <w:pPr>
        <w:rPr>
          <w:rFonts w:hint="eastAsia"/>
          <w:highlight w:val="none"/>
        </w:rPr>
      </w:pPr>
    </w:p>
    <w:p w14:paraId="0CD23B21">
      <w:pPr>
        <w:pStyle w:val="5"/>
        <w:shd w:val="clear" w:color="auto" w:fill="auto"/>
        <w:rPr>
          <w:rFonts w:hint="eastAsia" w:ascii="宋体" w:hAnsi="宋体" w:cs="宋体"/>
          <w:highlight w:val="none"/>
        </w:rPr>
      </w:pPr>
    </w:p>
    <w:p w14:paraId="4B39B6FF">
      <w:pPr>
        <w:widowControl w:val="0"/>
        <w:shd w:val="clear" w:color="auto" w:fill="auto"/>
        <w:adjustRightInd/>
        <w:snapToGrid/>
        <w:spacing w:after="0"/>
        <w:jc w:val="center"/>
        <w:rPr>
          <w:rFonts w:hint="eastAsia" w:ascii="宋体" w:hAnsi="宋体" w:eastAsia="宋体" w:cs="宋体"/>
          <w:b/>
          <w:bCs/>
          <w:kern w:val="2"/>
          <w:sz w:val="48"/>
          <w:szCs w:val="48"/>
          <w:highlight w:val="none"/>
          <w:lang w:eastAsia="zh-CN"/>
        </w:rPr>
      </w:pPr>
      <w:r>
        <w:rPr>
          <w:rFonts w:hint="eastAsia" w:ascii="宋体" w:hAnsi="宋体" w:cs="宋体"/>
          <w:b/>
          <w:bCs/>
          <w:kern w:val="2"/>
          <w:sz w:val="48"/>
          <w:szCs w:val="48"/>
          <w:highlight w:val="none"/>
          <w:lang w:eastAsia="zh-CN"/>
        </w:rPr>
        <w:t>韩城市城镇排水专项规划编制项目</w:t>
      </w:r>
    </w:p>
    <w:p w14:paraId="54B222CA">
      <w:pPr>
        <w:pStyle w:val="6"/>
        <w:rPr>
          <w:rFonts w:hint="eastAsia"/>
          <w:highlight w:val="none"/>
          <w:lang w:eastAsia="zh-CN"/>
        </w:rPr>
      </w:pPr>
    </w:p>
    <w:p w14:paraId="61C7F34D">
      <w:pPr>
        <w:widowControl w:val="0"/>
        <w:shd w:val="clear" w:color="auto" w:fill="auto"/>
        <w:adjustRightInd/>
        <w:snapToGrid/>
        <w:spacing w:after="0"/>
        <w:jc w:val="both"/>
        <w:rPr>
          <w:rFonts w:hint="eastAsia" w:ascii="宋体" w:hAnsi="宋体" w:cs="宋体"/>
          <w:b/>
          <w:bCs/>
          <w:kern w:val="2"/>
          <w:sz w:val="52"/>
          <w:szCs w:val="52"/>
          <w:highlight w:val="none"/>
        </w:rPr>
      </w:pPr>
    </w:p>
    <w:p w14:paraId="223B744A">
      <w:pPr>
        <w:shd w:val="clear" w:color="auto" w:fill="auto"/>
        <w:jc w:val="center"/>
        <w:rPr>
          <w:rFonts w:hint="eastAsia" w:ascii="宋体" w:hAnsi="宋体" w:cs="宋体"/>
          <w:b/>
          <w:bCs/>
          <w:sz w:val="144"/>
          <w:szCs w:val="28"/>
          <w:highlight w:val="none"/>
        </w:rPr>
      </w:pPr>
      <w:r>
        <w:rPr>
          <w:rFonts w:hint="eastAsia" w:ascii="宋体" w:hAnsi="宋体" w:cs="宋体"/>
          <w:b/>
          <w:bCs/>
          <w:sz w:val="52"/>
          <w:szCs w:val="52"/>
          <w:highlight w:val="none"/>
        </w:rPr>
        <w:t>政府采购合同</w:t>
      </w:r>
    </w:p>
    <w:p w14:paraId="37D1068E">
      <w:pPr>
        <w:shd w:val="clear" w:color="auto" w:fill="auto"/>
        <w:rPr>
          <w:rFonts w:hint="eastAsia" w:ascii="宋体" w:hAnsi="宋体" w:cs="宋体"/>
          <w:sz w:val="24"/>
          <w:szCs w:val="24"/>
          <w:highlight w:val="none"/>
        </w:rPr>
      </w:pPr>
    </w:p>
    <w:p w14:paraId="28C39DF1">
      <w:pPr>
        <w:pStyle w:val="10"/>
        <w:shd w:val="clear" w:color="auto" w:fill="auto"/>
        <w:rPr>
          <w:rFonts w:hint="eastAsia" w:ascii="宋体" w:hAnsi="宋体" w:cs="宋体"/>
          <w:sz w:val="22"/>
          <w:szCs w:val="28"/>
          <w:highlight w:val="none"/>
        </w:rPr>
      </w:pPr>
    </w:p>
    <w:p w14:paraId="71E3D003">
      <w:pPr>
        <w:pStyle w:val="4"/>
        <w:shd w:val="clear" w:color="auto" w:fill="auto"/>
        <w:outlineLvl w:val="9"/>
        <w:rPr>
          <w:rFonts w:hint="eastAsia" w:ascii="宋体" w:hAnsi="宋体" w:eastAsia="宋体" w:cs="宋体"/>
          <w:kern w:val="2"/>
          <w:sz w:val="28"/>
          <w:szCs w:val="28"/>
          <w:highlight w:val="none"/>
          <w:lang w:eastAsia="zh-CN"/>
        </w:rPr>
      </w:pPr>
    </w:p>
    <w:p w14:paraId="57268B8C">
      <w:pPr>
        <w:rPr>
          <w:rFonts w:hint="eastAsia"/>
          <w:lang w:eastAsia="zh-CN"/>
        </w:rPr>
      </w:pPr>
    </w:p>
    <w:p w14:paraId="0BBB715B">
      <w:pPr>
        <w:rPr>
          <w:rFonts w:hint="eastAsia"/>
          <w:highlight w:val="none"/>
          <w:lang w:eastAsia="zh-CN"/>
        </w:rPr>
      </w:pPr>
    </w:p>
    <w:p w14:paraId="5A4184EB">
      <w:pPr>
        <w:widowControl w:val="0"/>
        <w:shd w:val="clear" w:color="auto" w:fill="auto"/>
        <w:adjustRightInd/>
        <w:snapToGrid/>
        <w:spacing w:after="0"/>
        <w:jc w:val="both"/>
        <w:rPr>
          <w:rFonts w:hint="eastAsia" w:ascii="宋体" w:hAnsi="宋体" w:cs="宋体"/>
          <w:b/>
          <w:bCs/>
          <w:kern w:val="2"/>
          <w:sz w:val="32"/>
          <w:szCs w:val="32"/>
          <w:highlight w:val="none"/>
        </w:rPr>
      </w:pPr>
    </w:p>
    <w:p w14:paraId="32E98268">
      <w:pPr>
        <w:widowControl w:val="0"/>
        <w:shd w:val="clear" w:color="auto" w:fill="auto"/>
        <w:adjustRightInd/>
        <w:snapToGrid/>
        <w:spacing w:after="0"/>
        <w:jc w:val="center"/>
        <w:rPr>
          <w:rFonts w:hint="eastAsia" w:ascii="宋体" w:hAnsi="宋体" w:eastAsia="宋体" w:cs="宋体"/>
          <w:b/>
          <w:bCs/>
          <w:kern w:val="2"/>
          <w:sz w:val="32"/>
          <w:szCs w:val="32"/>
          <w:highlight w:val="none"/>
          <w:lang w:eastAsia="zh-CN"/>
        </w:rPr>
      </w:pPr>
      <w:r>
        <w:rPr>
          <w:rFonts w:hint="eastAsia" w:ascii="宋体" w:hAnsi="宋体" w:cs="宋体"/>
          <w:b/>
          <w:bCs/>
          <w:kern w:val="2"/>
          <w:sz w:val="32"/>
          <w:szCs w:val="32"/>
          <w:highlight w:val="none"/>
        </w:rPr>
        <w:t>委托人（甲方）：</w:t>
      </w:r>
    </w:p>
    <w:p w14:paraId="17295530">
      <w:pPr>
        <w:widowControl w:val="0"/>
        <w:shd w:val="clear" w:color="auto" w:fill="auto"/>
        <w:adjustRightInd/>
        <w:snapToGrid/>
        <w:spacing w:after="0"/>
        <w:ind w:firstLine="964" w:firstLineChars="300"/>
        <w:jc w:val="center"/>
        <w:rPr>
          <w:rFonts w:hint="eastAsia" w:ascii="宋体" w:hAnsi="宋体" w:cs="宋体"/>
          <w:b/>
          <w:bCs/>
          <w:kern w:val="2"/>
          <w:sz w:val="32"/>
          <w:szCs w:val="32"/>
          <w:highlight w:val="none"/>
        </w:rPr>
      </w:pPr>
    </w:p>
    <w:p w14:paraId="36E50E18">
      <w:pPr>
        <w:widowControl w:val="0"/>
        <w:shd w:val="clear" w:color="auto" w:fill="auto"/>
        <w:adjustRightInd/>
        <w:snapToGrid/>
        <w:spacing w:after="0"/>
        <w:jc w:val="center"/>
        <w:rPr>
          <w:rFonts w:hint="eastAsia" w:ascii="宋体" w:hAnsi="宋体" w:cs="宋体"/>
          <w:b/>
          <w:bCs/>
          <w:kern w:val="2"/>
          <w:sz w:val="32"/>
          <w:szCs w:val="32"/>
          <w:highlight w:val="none"/>
        </w:rPr>
      </w:pPr>
      <w:r>
        <w:rPr>
          <w:rFonts w:hint="eastAsia" w:ascii="宋体" w:hAnsi="宋体" w:cs="宋体"/>
          <w:b/>
          <w:bCs/>
          <w:kern w:val="2"/>
          <w:sz w:val="32"/>
          <w:szCs w:val="32"/>
          <w:highlight w:val="none"/>
        </w:rPr>
        <w:t>受托人（乙方）：</w:t>
      </w:r>
    </w:p>
    <w:p w14:paraId="6D4F69BD">
      <w:pPr>
        <w:pStyle w:val="10"/>
        <w:shd w:val="clear" w:color="auto" w:fill="auto"/>
        <w:rPr>
          <w:rFonts w:hint="eastAsia" w:ascii="宋体" w:hAnsi="宋体" w:cs="宋体"/>
          <w:b/>
          <w:bCs/>
          <w:sz w:val="32"/>
          <w:szCs w:val="32"/>
          <w:highlight w:val="none"/>
        </w:rPr>
      </w:pPr>
    </w:p>
    <w:p w14:paraId="0C4E7AF2">
      <w:pPr>
        <w:shd w:val="clear" w:color="auto" w:fill="auto"/>
        <w:ind w:firstLine="2891" w:firstLineChars="900"/>
        <w:jc w:val="both"/>
        <w:rPr>
          <w:rFonts w:hint="eastAsia" w:ascii="宋体" w:hAnsi="宋体" w:cs="宋体"/>
          <w:b/>
          <w:bCs/>
          <w:sz w:val="32"/>
          <w:szCs w:val="32"/>
          <w:highlight w:val="none"/>
        </w:rPr>
      </w:pPr>
    </w:p>
    <w:p w14:paraId="64DEDE3D">
      <w:pPr>
        <w:shd w:val="clear" w:color="auto" w:fill="auto"/>
        <w:jc w:val="center"/>
        <w:rPr>
          <w:rFonts w:hint="default" w:ascii="宋体" w:hAnsi="宋体" w:eastAsia="宋体" w:cs="宋体"/>
          <w:b/>
          <w:bCs/>
          <w:sz w:val="32"/>
          <w:szCs w:val="32"/>
          <w:highlight w:val="none"/>
          <w:lang w:val="en-US" w:eastAsia="zh-CN"/>
        </w:rPr>
      </w:pPr>
      <w:r>
        <w:rPr>
          <w:rFonts w:hint="eastAsia" w:ascii="宋体" w:hAnsi="宋体" w:cs="宋体"/>
          <w:b/>
          <w:bCs/>
          <w:sz w:val="32"/>
          <w:szCs w:val="32"/>
          <w:highlight w:val="none"/>
        </w:rPr>
        <w:t>签订时间：</w:t>
      </w:r>
      <w:r>
        <w:rPr>
          <w:rFonts w:hint="eastAsia" w:ascii="宋体" w:hAnsi="宋体" w:cs="宋体"/>
          <w:b/>
          <w:bCs/>
          <w:sz w:val="32"/>
          <w:szCs w:val="32"/>
          <w:highlight w:val="none"/>
          <w:lang w:val="en-US" w:eastAsia="zh-CN"/>
        </w:rPr>
        <w:t xml:space="preserve"> </w:t>
      </w:r>
      <w:r>
        <w:rPr>
          <w:rFonts w:hint="eastAsia" w:ascii="宋体" w:hAnsi="宋体" w:cs="宋体"/>
          <w:b/>
          <w:bCs/>
          <w:sz w:val="32"/>
          <w:szCs w:val="32"/>
          <w:highlight w:val="none"/>
        </w:rPr>
        <w:t>年 月</w:t>
      </w:r>
      <w:r>
        <w:rPr>
          <w:rFonts w:hint="eastAsia" w:ascii="宋体" w:hAnsi="宋体" w:cs="宋体"/>
          <w:b/>
          <w:bCs/>
          <w:sz w:val="32"/>
          <w:szCs w:val="32"/>
          <w:highlight w:val="none"/>
          <w:lang w:val="en-US" w:eastAsia="zh-CN"/>
        </w:rPr>
        <w:t xml:space="preserve"> 日</w:t>
      </w:r>
    </w:p>
    <w:p w14:paraId="65BBF61E">
      <w:pPr>
        <w:keepNext w:val="0"/>
        <w:keepLines w:val="0"/>
        <w:pageBreakBefore w:val="0"/>
        <w:shd w:val="clear" w:color="auto" w:fill="auto"/>
        <w:kinsoku/>
        <w:wordWrap/>
        <w:overflowPunct/>
        <w:topLinePunct w:val="0"/>
        <w:bidi w:val="0"/>
        <w:spacing w:line="312" w:lineRule="auto"/>
        <w:ind w:firstLine="420" w:firstLineChars="200"/>
        <w:textAlignment w:val="auto"/>
        <w:rPr>
          <w:rFonts w:hint="eastAsia" w:ascii="宋体" w:hAnsi="宋体" w:eastAsia="宋体" w:cs="宋体"/>
          <w:bCs/>
          <w:sz w:val="21"/>
          <w:szCs w:val="21"/>
          <w:highlight w:val="none"/>
          <w:lang w:bidi="ar"/>
        </w:rPr>
      </w:pPr>
    </w:p>
    <w:p w14:paraId="22DB4C8E">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甲方（采购人）：               </w:t>
      </w:r>
    </w:p>
    <w:p w14:paraId="74D6F321">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 xml:space="preserve">乙方（供应商）：                </w:t>
      </w:r>
    </w:p>
    <w:p w14:paraId="5D08F4C6">
      <w:pPr>
        <w:keepNext/>
        <w:keepLines w:val="0"/>
        <w:pageBreakBefore w:val="0"/>
        <w:widowControl w:val="0"/>
        <w:shd w:val="clear" w:color="auto" w:fill="auto"/>
        <w:kinsoku/>
        <w:wordWrap/>
        <w:overflowPunct/>
        <w:topLinePunct w:val="0"/>
        <w:bidi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甲乙双方根据</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政府采购项目（项目编号</w:t>
      </w:r>
      <w:r>
        <w:rPr>
          <w:rFonts w:hint="eastAsia" w:ascii="宋体" w:hAnsi="宋体" w:eastAsia="宋体" w:cs="宋体"/>
          <w:bCs/>
          <w:sz w:val="21"/>
          <w:szCs w:val="21"/>
          <w:highlight w:val="none"/>
          <w:u w:val="single"/>
          <w:lang w:bidi="ar"/>
        </w:rPr>
        <w:t xml:space="preserve">：    </w:t>
      </w:r>
      <w:r>
        <w:rPr>
          <w:rFonts w:hint="eastAsia" w:ascii="宋体" w:hAnsi="宋体" w:eastAsia="宋体" w:cs="宋体"/>
          <w:bCs/>
          <w:sz w:val="21"/>
          <w:szCs w:val="21"/>
          <w:highlight w:val="none"/>
          <w:lang w:bidi="ar"/>
        </w:rPr>
        <w:t>）采购结果及相关竞争性磋商文件、响应文件，经协商一致，订立本合同，供双方共同遵守：</w:t>
      </w:r>
    </w:p>
    <w:p w14:paraId="638B19D5">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一</w:t>
      </w:r>
      <w:r>
        <w:rPr>
          <w:rFonts w:hint="eastAsia" w:ascii="宋体" w:hAnsi="宋体" w:eastAsia="宋体" w:cs="宋体"/>
          <w:b/>
          <w:bCs/>
          <w:color w:val="auto"/>
          <w:sz w:val="21"/>
          <w:szCs w:val="21"/>
          <w:highlight w:val="none"/>
          <w:lang w:val="en-US" w:eastAsia="zh-CN"/>
        </w:rPr>
        <w:t>条</w:t>
      </w:r>
      <w:r>
        <w:rPr>
          <w:rFonts w:hint="eastAsia" w:ascii="宋体" w:hAnsi="宋体" w:eastAsia="宋体" w:cs="宋体"/>
          <w:b/>
          <w:bCs/>
          <w:color w:val="auto"/>
          <w:sz w:val="21"/>
          <w:szCs w:val="21"/>
          <w:highlight w:val="none"/>
        </w:rPr>
        <w:t>合同价款</w:t>
      </w:r>
    </w:p>
    <w:p w14:paraId="53C7BF8B">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eastAsia="宋体"/>
          <w:highlight w:val="none"/>
          <w:lang w:val="en-US"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合同总价款为人民币</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7B122948">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2、合同总价不受国家政策调价或原材料市场价格变化的影响，并作为最终结算的唯一依据。</w:t>
      </w:r>
    </w:p>
    <w:p w14:paraId="62EA2799">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第二条项目概况：</w:t>
      </w:r>
    </w:p>
    <w:p w14:paraId="77711A97">
      <w:pPr>
        <w:keepNext/>
        <w:pageBreakBefore w:val="0"/>
        <w:widowControl w:val="0"/>
        <w:numPr>
          <w:ilvl w:val="0"/>
          <w:numId w:val="1"/>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项目内容：</w:t>
      </w:r>
    </w:p>
    <w:p w14:paraId="654F9CBA">
      <w:pPr>
        <w:keepNext/>
        <w:pageBreakBefore w:val="0"/>
        <w:widowControl w:val="0"/>
        <w:numPr>
          <w:numId w:val="0"/>
        </w:numPr>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bookmarkStart w:id="0" w:name="_GoBack"/>
      <w:bookmarkEnd w:id="0"/>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项目地点：</w:t>
      </w:r>
      <w:r>
        <w:rPr>
          <w:rFonts w:hint="eastAsia" w:ascii="宋体" w:hAnsi="宋体" w:eastAsia="宋体" w:cs="宋体"/>
          <w:bCs/>
          <w:color w:val="auto"/>
          <w:sz w:val="21"/>
          <w:szCs w:val="21"/>
          <w:highlight w:val="none"/>
          <w:lang w:val="en-US" w:eastAsia="zh-CN"/>
        </w:rPr>
        <w:t>韩城市。</w:t>
      </w:r>
    </w:p>
    <w:p w14:paraId="754A944A">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3、服务期：</w:t>
      </w:r>
    </w:p>
    <w:p w14:paraId="14D2CA24">
      <w:pPr>
        <w:keepNext/>
        <w:pageBreakBefore w:val="0"/>
        <w:widowControl w:val="0"/>
        <w:kinsoku/>
        <w:wordWrap/>
        <w:overflowPunct/>
        <w:topLinePunct w:val="0"/>
        <w:autoSpaceDE w:val="0"/>
        <w:autoSpaceDN w:val="0"/>
        <w:bidi w:val="0"/>
        <w:spacing w:line="360" w:lineRule="auto"/>
        <w:ind w:firstLine="420" w:firstLineChars="200"/>
        <w:textAlignment w:val="auto"/>
        <w:rPr>
          <w:rFonts w:hint="default"/>
          <w:highlight w:val="none"/>
          <w:lang w:val="en-US"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 w:val="0"/>
          <w:bCs w:val="0"/>
          <w:color w:val="auto"/>
          <w:sz w:val="21"/>
          <w:szCs w:val="21"/>
          <w:highlight w:val="none"/>
          <w:lang w:val="en-US" w:eastAsia="zh-CN"/>
        </w:rPr>
        <w:t>质量标准：合格。符合国家、省、市相关标准、规范和政策要求，符合韩城市市情和发展定位</w:t>
      </w:r>
      <w:r>
        <w:rPr>
          <w:rFonts w:hint="eastAsia" w:ascii="宋体" w:hAnsi="宋体" w:cs="宋体"/>
          <w:color w:val="auto"/>
          <w:sz w:val="21"/>
          <w:szCs w:val="21"/>
          <w:highlight w:val="none"/>
          <w:lang w:val="en-US" w:eastAsia="zh-CN"/>
        </w:rPr>
        <w:t>。</w:t>
      </w:r>
    </w:p>
    <w:p w14:paraId="1CA1478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第三条成果及要求</w:t>
      </w:r>
    </w:p>
    <w:p w14:paraId="33AA9AF2">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1、成果提交：根据磋商文件及采购人要求提供。</w:t>
      </w:r>
    </w:p>
    <w:p w14:paraId="004D197B">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2、项目完成后，继续提供后续支持服务。</w:t>
      </w:r>
    </w:p>
    <w:p w14:paraId="32A8EB1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第四条</w:t>
      </w:r>
      <w:r>
        <w:rPr>
          <w:rFonts w:hint="eastAsia" w:ascii="宋体" w:hAnsi="宋体" w:eastAsia="宋体" w:cs="宋体"/>
          <w:b/>
          <w:bCs/>
          <w:color w:val="auto"/>
          <w:sz w:val="21"/>
          <w:szCs w:val="21"/>
          <w:highlight w:val="none"/>
        </w:rPr>
        <w:t>款项结算</w:t>
      </w:r>
    </w:p>
    <w:p w14:paraId="5DD71E4A">
      <w:pPr>
        <w:keepNext/>
        <w:pageBreakBefore w:val="0"/>
        <w:widowControl w:val="0"/>
        <w:kinsoku/>
        <w:wordWrap/>
        <w:overflowPunct/>
        <w:topLinePunct w:val="0"/>
        <w:autoSpaceDE w:val="0"/>
        <w:autoSpaceDN w:val="0"/>
        <w:bidi w:val="0"/>
        <w:spacing w:line="360" w:lineRule="auto"/>
        <w:ind w:left="690" w:leftChars="218" w:hanging="210" w:hangingChars="1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付款方式：</w:t>
      </w:r>
    </w:p>
    <w:p w14:paraId="06263D02">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支付方式：银行转账。</w:t>
      </w:r>
    </w:p>
    <w:p w14:paraId="69542907">
      <w:pPr>
        <w:pStyle w:val="11"/>
        <w:keepNext/>
        <w:pageBreakBefore w:val="0"/>
        <w:widowControl w:val="0"/>
        <w:kinsoku/>
        <w:wordWrap/>
        <w:overflowPunct/>
        <w:topLinePunct w:val="0"/>
        <w:bidi w:val="0"/>
        <w:spacing w:line="360" w:lineRule="auto"/>
        <w:ind w:firstLine="422"/>
        <w:textAlignment w:val="auto"/>
        <w:rPr>
          <w:rFonts w:hint="default" w:ascii="宋体" w:hAnsi="宋体" w:eastAsia="宋体" w:cs="宋体"/>
          <w:b/>
          <w:color w:val="auto"/>
          <w:sz w:val="21"/>
          <w:szCs w:val="21"/>
          <w:highlight w:val="none"/>
          <w:lang w:val="en-US"/>
        </w:rPr>
      </w:pPr>
      <w:r>
        <w:rPr>
          <w:rFonts w:hint="eastAsia" w:hAnsi="宋体" w:eastAsia="宋体" w:cs="宋体"/>
          <w:b/>
          <w:color w:val="auto"/>
          <w:sz w:val="21"/>
          <w:szCs w:val="21"/>
          <w:highlight w:val="none"/>
          <w:lang w:val="en-US" w:eastAsia="zh-CN"/>
        </w:rPr>
        <w:t>第五条</w:t>
      </w:r>
      <w:r>
        <w:rPr>
          <w:rFonts w:hint="eastAsia" w:ascii="宋体" w:hAnsi="宋体" w:eastAsia="宋体" w:cs="宋体"/>
          <w:b/>
          <w:color w:val="auto"/>
          <w:sz w:val="21"/>
          <w:szCs w:val="21"/>
          <w:highlight w:val="none"/>
          <w:lang w:val="en-US" w:eastAsia="zh-CN"/>
        </w:rPr>
        <w:t>验收</w:t>
      </w:r>
    </w:p>
    <w:p w14:paraId="6196E114">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该项目规划编制完成后，经专家评审、韩城市政府专题会议审议通过后视为验收通过</w:t>
      </w:r>
      <w:r>
        <w:rPr>
          <w:rFonts w:hint="eastAsia" w:ascii="宋体" w:hAnsi="宋体" w:cs="宋体"/>
          <w:color w:val="auto"/>
          <w:sz w:val="21"/>
          <w:szCs w:val="21"/>
          <w:highlight w:val="none"/>
          <w:lang w:val="en-US" w:eastAsia="zh-CN"/>
        </w:rPr>
        <w:t>。</w:t>
      </w:r>
    </w:p>
    <w:p w14:paraId="41CD4347">
      <w:pPr>
        <w:keepNext/>
        <w:pageBreakBefore w:val="0"/>
        <w:widowControl w:val="0"/>
        <w:kinsoku/>
        <w:wordWrap/>
        <w:overflowPunct/>
        <w:topLinePunct w:val="0"/>
        <w:autoSpaceDE w:val="0"/>
        <w:autoSpaceDN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验收依据：磋商文件、响应文件、合同文本，国家、省、市相关标准、规范。</w:t>
      </w:r>
    </w:p>
    <w:p w14:paraId="2BD5DBE8">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第六条知识产权</w:t>
      </w:r>
    </w:p>
    <w:p w14:paraId="5D8024B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乙方应保证所提供的服务或其任何一部分均不会侵犯任何第三方的专利权、商标权或著作权。</w:t>
      </w:r>
    </w:p>
    <w:p w14:paraId="0B0B344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第七条无产权瑕疵条款</w:t>
      </w:r>
    </w:p>
    <w:p w14:paraId="20DA742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乙方保证所提供的服务的所有权完全属于乙方且无任何抵押、查封等产权瑕疵。如有产权瑕疵的，视为乙方违约。乙方应负担由此而产生的一切损失。</w:t>
      </w:r>
    </w:p>
    <w:p w14:paraId="0DE26E8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第八条履约保证金</w:t>
      </w:r>
    </w:p>
    <w:p w14:paraId="704B20C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无。</w:t>
      </w:r>
    </w:p>
    <w:p w14:paraId="47CD91BB">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第九条双方的权利和义务</w:t>
      </w:r>
    </w:p>
    <w:p w14:paraId="07DFAD56">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（一）甲方的权利和义务</w:t>
      </w:r>
    </w:p>
    <w:p w14:paraId="324CE799">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3E698C0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2．甲方有权依据双方签订的考评办法对乙方提供的服务进行定期考评。</w:t>
      </w:r>
    </w:p>
    <w:p w14:paraId="511BC84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3．负责检查监督乙方管理工作的实施及制度的执行情况。</w:t>
      </w:r>
    </w:p>
    <w:p w14:paraId="075B2D70">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4．根据本合同规定，按时向乙方支付应付服务费用。</w:t>
      </w:r>
    </w:p>
    <w:p w14:paraId="42894CE4">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．国家法律、法规所规定由甲方承担的其它责任。</w:t>
      </w:r>
    </w:p>
    <w:p w14:paraId="3673E65E">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（二）乙方的权利和义务</w:t>
      </w:r>
    </w:p>
    <w:p w14:paraId="7A182B8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1．对本合同规定的委托服务范围内的项目享有管理权及服务义务。</w:t>
      </w:r>
    </w:p>
    <w:p w14:paraId="2730C558">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2．根据本合同的规定向甲方收取相关服务费用，并有权在本项目管理范围内管理及合理使用。</w:t>
      </w:r>
    </w:p>
    <w:p w14:paraId="4B01AF1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3．及时向甲方通告本项目服务范围内有关服务的重大事项，及时配合处理投诉。</w:t>
      </w:r>
    </w:p>
    <w:p w14:paraId="589AB1A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4．接受项目行业管理部门及政府有关部门的指导，接受甲方的监督。</w:t>
      </w:r>
    </w:p>
    <w:p w14:paraId="2E96A15F">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5．国家法律、法规所规定由乙方承担的其它责任。</w:t>
      </w:r>
    </w:p>
    <w:p w14:paraId="24D147DF">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第十条违约责任</w:t>
      </w:r>
    </w:p>
    <w:p w14:paraId="583B8E3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1．甲乙双方必须遵守本合同并执行合同中的各项规定，保证本合同的正常履行。</w:t>
      </w:r>
    </w:p>
    <w:p w14:paraId="1D1FB46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415E90C">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第十一条不可抗力事件处理</w:t>
      </w:r>
    </w:p>
    <w:p w14:paraId="74A4ADCC">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1．在合同有效期内，任何一方因不可抗力事件导致不能履行合同，则合同履行期可延长，其延长期与不可抗力影响期相同。</w:t>
      </w:r>
    </w:p>
    <w:p w14:paraId="1412A03B">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2．不可抗力事件发生后，应立即通知对方，并寄送有关权威机构出具的证明。</w:t>
      </w:r>
    </w:p>
    <w:p w14:paraId="1BA91AF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3．不可抗力事件延续15个日历日以上，双方应通过友好协商，确定是否继续履行合同。</w:t>
      </w:r>
    </w:p>
    <w:p w14:paraId="734580F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第十二条合同的变更和终止</w:t>
      </w:r>
    </w:p>
    <w:p w14:paraId="6F7D3A4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除《中华人民共和国政府采购法》第49条、第50条第二款规定的情形外，本合同一经签订，甲乙双方不得擅自变更、中止或终止合同。</w:t>
      </w:r>
    </w:p>
    <w:p w14:paraId="06557085">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第十三条解决合同纠纷的方式</w:t>
      </w:r>
    </w:p>
    <w:p w14:paraId="7C4E9DE0">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1．在执行本合同中发生的或与本合同有关的争端，双方应通过友好协商解决，经协商在</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天内不能达成协议时，则采取以下第（</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）种方式解决争议：</w:t>
      </w:r>
    </w:p>
    <w:p w14:paraId="42B38587">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（1）向甲方所在地有管辖权的人民法院提起诉讼；</w:t>
      </w:r>
    </w:p>
    <w:p w14:paraId="5B59F339">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（2）向</w:t>
      </w:r>
      <w:r>
        <w:rPr>
          <w:rFonts w:hint="eastAsia" w:ascii="宋体" w:hAnsi="宋体" w:eastAsia="宋体" w:cs="宋体"/>
          <w:bCs/>
          <w:sz w:val="21"/>
          <w:szCs w:val="21"/>
          <w:highlight w:val="none"/>
          <w:lang w:val="en-US" w:eastAsia="zh-CN"/>
        </w:rPr>
        <w:t>韩城</w:t>
      </w:r>
      <w:r>
        <w:rPr>
          <w:rFonts w:hint="eastAsia" w:ascii="宋体" w:hAnsi="宋体" w:eastAsia="宋体" w:cs="宋体"/>
          <w:bCs/>
          <w:sz w:val="21"/>
          <w:szCs w:val="21"/>
          <w:highlight w:val="none"/>
          <w:lang w:eastAsia="zh-CN"/>
        </w:rPr>
        <w:t>仲裁委员会按其仲裁规则申请仲裁。</w:t>
      </w:r>
    </w:p>
    <w:p w14:paraId="30254205">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2．在仲裁期间，本合同应继续履行。</w:t>
      </w:r>
    </w:p>
    <w:p w14:paraId="353EDA77">
      <w:pPr>
        <w:keepNext/>
        <w:pageBreakBefore w:val="0"/>
        <w:widowControl w:val="0"/>
        <w:kinsoku/>
        <w:wordWrap/>
        <w:overflowPunct/>
        <w:topLinePunct w:val="0"/>
        <w:autoSpaceDE w:val="0"/>
        <w:autoSpaceDN w:val="0"/>
        <w:bidi w:val="0"/>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第十四条合同生效及其他</w:t>
      </w:r>
    </w:p>
    <w:p w14:paraId="43EC461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1．合同经双方法定代表人（单位负责人）或授权委托代理人签名并加盖单位公章后生效。</w:t>
      </w:r>
    </w:p>
    <w:p w14:paraId="1C565213">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2．合同执行中涉及采购资金和采购内容修改或补充的，须经政府采购监管部门审批，并签书面补充协议报政府采购监督管理部门备案，方可作为主合同不可分割的一部分。</w:t>
      </w:r>
    </w:p>
    <w:p w14:paraId="192CB00D">
      <w:pPr>
        <w:keepNext/>
        <w:keepLines w:val="0"/>
        <w:pageBreakBefore w:val="0"/>
        <w:widowControl w:val="0"/>
        <w:kinsoku/>
        <w:wordWrap/>
        <w:overflowPunct/>
        <w:topLinePunct w:val="0"/>
        <w:autoSpaceDE/>
        <w:autoSpaceDN/>
        <w:bidi w:val="0"/>
        <w:adjustRightInd/>
        <w:snapToGrid/>
        <w:spacing w:line="360" w:lineRule="auto"/>
        <w:ind w:left="0" w:leftChars="0" w:right="0" w:firstLine="420" w:firstLineChars="200"/>
        <w:jc w:val="left"/>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3．本合同一式</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份，自双方签章之日起起效。甲方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份乙方</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lang w:eastAsia="zh-CN"/>
        </w:rPr>
        <w:t>份，具有同等法律效力。</w:t>
      </w:r>
    </w:p>
    <w:p w14:paraId="594F1646">
      <w:pPr>
        <w:pStyle w:val="3"/>
        <w:keepNext/>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第十五条附件</w:t>
      </w:r>
    </w:p>
    <w:p w14:paraId="58254004">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文件</w:t>
      </w:r>
    </w:p>
    <w:p w14:paraId="480B49A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425A16C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3．项目</w:t>
      </w:r>
      <w:r>
        <w:rPr>
          <w:rFonts w:hint="eastAsia" w:ascii="宋体" w:hAnsi="宋体" w:eastAsia="宋体" w:cs="宋体"/>
          <w:sz w:val="21"/>
          <w:szCs w:val="21"/>
          <w:highlight w:val="none"/>
          <w:lang w:val="en-US" w:eastAsia="zh-CN"/>
        </w:rPr>
        <w:t>响应</w:t>
      </w:r>
      <w:r>
        <w:rPr>
          <w:rFonts w:hint="eastAsia" w:ascii="宋体" w:hAnsi="宋体" w:eastAsia="宋体" w:cs="宋体"/>
          <w:sz w:val="21"/>
          <w:szCs w:val="21"/>
          <w:highlight w:val="none"/>
        </w:rPr>
        <w:t>文件</w:t>
      </w:r>
    </w:p>
    <w:p w14:paraId="74BFE2A7">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4．成交通知书</w:t>
      </w:r>
    </w:p>
    <w:p w14:paraId="61FD9465">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p>
    <w:p w14:paraId="06E39459">
      <w:pPr>
        <w:keepNext/>
        <w:pageBreakBefore w:val="0"/>
        <w:widowControl w:val="0"/>
        <w:kinsoku/>
        <w:wordWrap/>
        <w:overflowPunct/>
        <w:topLinePunct w:val="0"/>
        <w:bidi w:val="0"/>
        <w:spacing w:line="360" w:lineRule="auto"/>
        <w:ind w:firstLine="420" w:firstLineChars="20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w:t>
      </w: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58EBD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3DB0CD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527" w:type="dxa"/>
            <w:noWrap w:val="0"/>
            <w:vAlign w:val="center"/>
          </w:tcPr>
          <w:p w14:paraId="681BC06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0EE0A29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672" w:type="dxa"/>
            <w:noWrap w:val="0"/>
            <w:vAlign w:val="center"/>
          </w:tcPr>
          <w:p w14:paraId="29CF3CF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3BC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417CBFAA">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527" w:type="dxa"/>
            <w:noWrap w:val="0"/>
            <w:vAlign w:val="center"/>
          </w:tcPr>
          <w:p w14:paraId="08C44DF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0AAF494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672" w:type="dxa"/>
            <w:noWrap w:val="0"/>
            <w:vAlign w:val="center"/>
          </w:tcPr>
          <w:p w14:paraId="78CEA60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CA4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00BA317">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527" w:type="dxa"/>
            <w:noWrap w:val="0"/>
            <w:vAlign w:val="center"/>
          </w:tcPr>
          <w:p w14:paraId="4B0B5F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59A3244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c>
          <w:tcPr>
            <w:tcW w:w="2672" w:type="dxa"/>
            <w:noWrap w:val="0"/>
            <w:vAlign w:val="center"/>
          </w:tcPr>
          <w:p w14:paraId="1B808A8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0689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8A86E0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社会信用代码：</w:t>
            </w:r>
          </w:p>
        </w:tc>
        <w:tc>
          <w:tcPr>
            <w:tcW w:w="2527" w:type="dxa"/>
            <w:noWrap w:val="0"/>
            <w:vAlign w:val="center"/>
          </w:tcPr>
          <w:p w14:paraId="30260CA4">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B70D916">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社会信用代码：</w:t>
            </w:r>
          </w:p>
        </w:tc>
        <w:tc>
          <w:tcPr>
            <w:tcW w:w="2672" w:type="dxa"/>
            <w:noWrap w:val="0"/>
            <w:vAlign w:val="center"/>
          </w:tcPr>
          <w:p w14:paraId="0DA6C8B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CC34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F853E1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527" w:type="dxa"/>
            <w:noWrap w:val="0"/>
            <w:vAlign w:val="center"/>
          </w:tcPr>
          <w:p w14:paraId="50E8E8E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4FA04D6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672" w:type="dxa"/>
            <w:noWrap w:val="0"/>
            <w:vAlign w:val="center"/>
          </w:tcPr>
          <w:p w14:paraId="0F91BF1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786F2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CC8DCB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527" w:type="dxa"/>
            <w:noWrap w:val="0"/>
            <w:vAlign w:val="center"/>
          </w:tcPr>
          <w:p w14:paraId="6B2BA6B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EB1E6D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672" w:type="dxa"/>
            <w:noWrap w:val="0"/>
            <w:vAlign w:val="center"/>
          </w:tcPr>
          <w:p w14:paraId="3C9556E8">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631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49C6DAB">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527" w:type="dxa"/>
            <w:noWrap w:val="0"/>
            <w:vAlign w:val="center"/>
          </w:tcPr>
          <w:p w14:paraId="5800C74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79C50B59">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2672" w:type="dxa"/>
            <w:noWrap w:val="0"/>
            <w:vAlign w:val="center"/>
          </w:tcPr>
          <w:p w14:paraId="728FB6D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39C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78E9F3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527" w:type="dxa"/>
            <w:noWrap w:val="0"/>
            <w:vAlign w:val="center"/>
          </w:tcPr>
          <w:p w14:paraId="1DAA54C2">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762" w:type="dxa"/>
            <w:noWrap w:val="0"/>
            <w:vAlign w:val="center"/>
          </w:tcPr>
          <w:p w14:paraId="17D0BB90">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672" w:type="dxa"/>
            <w:noWrap w:val="0"/>
            <w:vAlign w:val="center"/>
          </w:tcPr>
          <w:p w14:paraId="7011708E">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3823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059B073">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527" w:type="dxa"/>
            <w:noWrap w:val="0"/>
            <w:vAlign w:val="center"/>
          </w:tcPr>
          <w:p w14:paraId="700A053C">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c>
          <w:tcPr>
            <w:tcW w:w="1762" w:type="dxa"/>
            <w:noWrap w:val="0"/>
            <w:vAlign w:val="center"/>
          </w:tcPr>
          <w:p w14:paraId="63C704ED">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672" w:type="dxa"/>
            <w:noWrap w:val="0"/>
            <w:vAlign w:val="center"/>
          </w:tcPr>
          <w:p w14:paraId="4B70B8B5">
            <w:pPr>
              <w:keepNext/>
              <w:keepLines w:val="0"/>
              <w:pageBreakBefore w:val="0"/>
              <w:widowControl w:val="0"/>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年月日</w:t>
            </w:r>
          </w:p>
        </w:tc>
      </w:tr>
    </w:tbl>
    <w:p w14:paraId="114919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75C7A4"/>
    <w:multiLevelType w:val="singleLevel"/>
    <w:tmpl w:val="6E75C7A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30547"/>
    <w:rsid w:val="19D147E0"/>
    <w:rsid w:val="4B0A4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eastAsia="宋体" w:cs="Calibri"/>
      <w:b/>
      <w:bCs/>
      <w:kern w:val="44"/>
      <w:sz w:val="32"/>
      <w:szCs w:val="44"/>
      <w:lang w:eastAsia="en-US"/>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4">
    <w:name w:val="heading 4"/>
    <w:basedOn w:val="1"/>
    <w:next w:val="1"/>
    <w:qFormat/>
    <w:uiPriority w:val="99"/>
    <w:pPr>
      <w:keepNext/>
      <w:keepLines/>
      <w:widowControl w:val="0"/>
      <w:adjustRightInd/>
      <w:snapToGrid/>
      <w:spacing w:before="280" w:after="290" w:line="376" w:lineRule="auto"/>
      <w:jc w:val="both"/>
      <w:outlineLvl w:val="3"/>
    </w:pPr>
    <w:rPr>
      <w:rFonts w:ascii="Cambria" w:hAnsi="Cambria" w:cs="Cambria"/>
      <w:b/>
      <w:bCs/>
      <w:kern w:val="2"/>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99"/>
    <w:pPr>
      <w:spacing w:after="120"/>
    </w:pPr>
  </w:style>
  <w:style w:type="paragraph" w:styleId="6">
    <w:name w:val="footer"/>
    <w:basedOn w:val="1"/>
    <w:qFormat/>
    <w:uiPriority w:val="99"/>
    <w:pPr>
      <w:tabs>
        <w:tab w:val="center" w:pos="4153"/>
        <w:tab w:val="right" w:pos="8306"/>
      </w:tabs>
    </w:pPr>
    <w:rPr>
      <w:sz w:val="18"/>
      <w:szCs w:val="18"/>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样式 首行缩进:  2 字符"/>
    <w:basedOn w:val="1"/>
    <w:qFormat/>
    <w:uiPriority w:val="0"/>
    <w:pPr>
      <w:spacing w:line="400" w:lineRule="exact"/>
      <w:ind w:firstLine="200" w:firstLineChars="200"/>
    </w:pPr>
    <w:rPr>
      <w:rFonts w:ascii="宋体" w:cs="宋体"/>
      <w:kern w:val="0"/>
      <w:sz w:val="24"/>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1771</Words>
  <Characters>1774</Characters>
  <Lines>0</Lines>
  <Paragraphs>0</Paragraphs>
  <TotalTime>0</TotalTime>
  <ScaleCrop>false</ScaleCrop>
  <LinksUpToDate>false</LinksUpToDate>
  <CharactersWithSpaces>1852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2026-01-15T08:52:00Z</dcterms:created>
  <dc:creator>X</dc:creator>
  <cp:lastModifiedBy>Mr.Xu</cp:lastModifiedBy>
  <dcterms:modified xsi:type="dcterms:W3CDTF">2026-01-30T12:31:34Z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eyJoZGlkIjoiYzc1NjgxOTk3OTA1NzRiZDEyN2IxNTk1OWJiYWNmYjkiLCJ1c2VySWQiOiIzMzg0NTQ0NTYifQ==</vt:lpwstr>
  </property>
  <property fmtid="{D5CDD505-2E9C-101B-9397-08002B2CF9AE}" pid="4" name="ICV">
    <vt:lpwstr>DBE7EAD488FC4A1CA6F4BA83C005E94B_12</vt:lpwstr>
  </property>
</Properties>
</file>