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版本号：JXZB2026-01-1720260130001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韩城市城镇排水专项规划编制项目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JXZB2026-01-17</w:t>
      </w:r>
      <w:r>
        <w:br/>
      </w:r>
      <w:r>
        <w:br/>
      </w:r>
      <w:r>
        <w:br/>
      </w:r>
    </w:p>
    <w:p>
      <w:pPr>
        <w:pStyle w:val="null3"/>
        <w:jc w:val="center"/>
        <w:outlineLvl w:val="2"/>
      </w:pPr>
      <w:r>
        <w:rPr>
          <w:rFonts w:ascii="仿宋_GB2312" w:hAnsi="仿宋_GB2312" w:cs="仿宋_GB2312" w:eastAsia="仿宋_GB2312"/>
          <w:sz w:val="28"/>
          <w:b/>
        </w:rPr>
        <w:t>韩城市住房和城乡规划建设局（本级）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韩城市住房和城乡规划建设局（本级）</w:t>
      </w:r>
      <w:r>
        <w:rPr>
          <w:rFonts w:ascii="仿宋_GB2312" w:hAnsi="仿宋_GB2312" w:cs="仿宋_GB2312" w:eastAsia="仿宋_GB2312"/>
        </w:rPr>
        <w:t>委托，拟对</w:t>
      </w:r>
      <w:r>
        <w:rPr>
          <w:rFonts w:ascii="仿宋_GB2312" w:hAnsi="仿宋_GB2312" w:cs="仿宋_GB2312" w:eastAsia="仿宋_GB2312"/>
        </w:rPr>
        <w:t>韩城市城镇排水专项规划编制项目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JXZB2026-01-17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韩城市城镇排水专项规划编制项目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城镇排水与污水处理等专项规划，科学制定城市市政排水管网修复改造和建设计划，策划包装排水管网更新改造项目,采取建管并举、系统整治、精准施策的措施，提升城镇污水收集处理效能，推动城镇污水处理设施专业化运行维护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2、财务状况报告：提供2022年至今任意一年完整的财务审计报告或响应文件提交截止时间前六个月内银行出具的资信证明，其他组织和自然人提供银行出具的资信证明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3、社会保障资金缴纳证明：提供响应文件提交截止时间前六个月内至少一个月的社会保障资金缴存单据或社保机构开具的社会保险参保缴费情况证明，依法不需要缴纳社会保障资金的单位应提供相关证明材料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4、税收缴纳证明：提供响应文件提交截止时间前六个月内已缴纳的至少一个月的纳税证明或完税证明，依法免税的单位应提供相关证明材料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8、资质：供应商应具备行政主管部门颁发的城乡规划编制乙级以上（含乙级）资质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韩城市住房和城乡规划建设局（本级）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韩城市新兴产业基地二号楼9楼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0913-5212161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韩城市住房和城乡规划建设局（本级）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韩城市住房和城乡规划建设局（本级）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韩城市住房和城乡规划建设局（本级）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城镇排水与污水处理等专项规划，科学制定城市市政排水管网修复改造和建设计划，策划包装排水管网更新改造项目,采取建管并举、系统整治、精准施策的措施，提升城镇污水收集处理效能，推动城镇污水处理设施专业化运行维护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韩城市城镇排水专项规划编制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标的名称：韩城市城镇排水专项规划编制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（一）项目主体内容</w:t>
            </w:r>
          </w:p>
          <w:p>
            <w:pPr>
              <w:pStyle w:val="null3"/>
              <w:jc w:val="both"/>
            </w:pPr>
            <w:r>
              <w:rPr>
                <w:rFonts w:ascii="仿宋_GB2312" w:hAnsi="仿宋_GB2312" w:cs="仿宋_GB2312" w:eastAsia="仿宋_GB2312"/>
                <w:sz w:val="21"/>
                <w:b/>
              </w:rPr>
              <w:t>1、建设方案编制主体</w:t>
            </w:r>
          </w:p>
          <w:p>
            <w:pPr>
              <w:pStyle w:val="null3"/>
              <w:ind w:firstLine="420"/>
              <w:jc w:val="left"/>
            </w:pPr>
            <w:r>
              <w:rPr>
                <w:rFonts w:ascii="仿宋_GB2312" w:hAnsi="仿宋_GB2312" w:cs="仿宋_GB2312" w:eastAsia="仿宋_GB2312"/>
                <w:sz w:val="21"/>
              </w:rPr>
              <w:t>本项目由韩城市住房和城乡建设局组织编制。</w:t>
            </w:r>
          </w:p>
          <w:p>
            <w:pPr>
              <w:pStyle w:val="null3"/>
              <w:jc w:val="both"/>
            </w:pPr>
            <w:r>
              <w:rPr>
                <w:rFonts w:ascii="仿宋_GB2312" w:hAnsi="仿宋_GB2312" w:cs="仿宋_GB2312" w:eastAsia="仿宋_GB2312"/>
                <w:sz w:val="21"/>
                <w:b/>
              </w:rPr>
              <w:t>2、规划范围</w:t>
            </w:r>
          </w:p>
          <w:p>
            <w:pPr>
              <w:pStyle w:val="null3"/>
              <w:ind w:firstLine="420"/>
              <w:jc w:val="both"/>
            </w:pPr>
            <w:r>
              <w:rPr>
                <w:rFonts w:ascii="仿宋_GB2312" w:hAnsi="仿宋_GB2312" w:cs="仿宋_GB2312" w:eastAsia="仿宋_GB2312"/>
                <w:sz w:val="21"/>
              </w:rPr>
              <w:t>规划范围包含韩城市管辖范围内的六个乡镇（西庄镇、板桥镇、桑树坪镇、芝川镇、芝阳镇、龙门镇）及两个街道办范围。</w:t>
            </w:r>
          </w:p>
          <w:p>
            <w:pPr>
              <w:pStyle w:val="null3"/>
              <w:jc w:val="both"/>
            </w:pPr>
            <w:r>
              <w:rPr>
                <w:rFonts w:ascii="仿宋_GB2312" w:hAnsi="仿宋_GB2312" w:cs="仿宋_GB2312" w:eastAsia="仿宋_GB2312"/>
                <w:sz w:val="21"/>
                <w:b/>
              </w:rPr>
              <w:t>3、规划功能目标</w:t>
            </w:r>
          </w:p>
          <w:p>
            <w:pPr>
              <w:pStyle w:val="null3"/>
              <w:ind w:firstLine="420"/>
              <w:jc w:val="both"/>
            </w:pPr>
            <w:r>
              <w:rPr>
                <w:rFonts w:ascii="仿宋_GB2312" w:hAnsi="仿宋_GB2312" w:cs="仿宋_GB2312" w:eastAsia="仿宋_GB2312"/>
                <w:sz w:val="21"/>
              </w:rPr>
              <w:t>1）精准提升污水收集率：补齐管网空白、修复错接混接及破损管网，实现城镇建成区污水收集全覆盖，大幅降低合流制溢流、雨污混流及污水直排现象。</w:t>
            </w:r>
          </w:p>
          <w:p>
            <w:pPr>
              <w:pStyle w:val="null3"/>
              <w:ind w:firstLine="420"/>
              <w:jc w:val="both"/>
            </w:pPr>
            <w:r>
              <w:rPr>
                <w:rFonts w:ascii="仿宋_GB2312" w:hAnsi="仿宋_GB2312" w:cs="仿宋_GB2312" w:eastAsia="仿宋_GB2312"/>
                <w:sz w:val="21"/>
              </w:rPr>
              <w:t>2）优化污水处理效能：保障管网输送水质、水量稳定，匹配污水处理厂处理工艺与处理规模，提升污水厂运行负荷率，避免设施低效运行。</w:t>
            </w:r>
          </w:p>
          <w:p>
            <w:pPr>
              <w:pStyle w:val="null3"/>
              <w:ind w:firstLine="420"/>
              <w:jc w:val="both"/>
            </w:pPr>
            <w:r>
              <w:rPr>
                <w:rFonts w:ascii="仿宋_GB2312" w:hAnsi="仿宋_GB2312" w:cs="仿宋_GB2312" w:eastAsia="仿宋_GB2312"/>
                <w:sz w:val="21"/>
              </w:rPr>
              <w:t>3）建立长效运维体系：规划管网标准化建设、智慧化管控及常态化运维机制，确保管网系统长期稳定运行，为收集率和处理效能的持续提升提供保障。</w:t>
            </w:r>
          </w:p>
          <w:p>
            <w:pPr>
              <w:pStyle w:val="null3"/>
              <w:ind w:firstLine="420"/>
              <w:jc w:val="both"/>
            </w:pPr>
            <w:r>
              <w:rPr>
                <w:rFonts w:ascii="仿宋_GB2312" w:hAnsi="仿宋_GB2312" w:cs="仿宋_GB2312" w:eastAsia="仿宋_GB2312"/>
                <w:sz w:val="21"/>
              </w:rPr>
              <w:t>4）科学制定污水管网修复改造和建设计划：策划包装排水管网更新改造项目，采取建管并举、系统整治、精准施策的措施，提升城镇污水收集处理效能，推动城镇污水处理设施专业化运行维护管理。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b/>
              </w:rPr>
              <w:t>、规划编制程序</w:t>
            </w:r>
          </w:p>
          <w:p>
            <w:pPr>
              <w:pStyle w:val="null3"/>
              <w:ind w:firstLine="420"/>
              <w:jc w:val="both"/>
            </w:pPr>
            <w:r>
              <w:rPr>
                <w:rFonts w:ascii="仿宋_GB2312" w:hAnsi="仿宋_GB2312" w:cs="仿宋_GB2312" w:eastAsia="仿宋_GB2312"/>
                <w:sz w:val="21"/>
              </w:rPr>
              <w:t>城镇污水管网专项规划编制按前期准备</w:t>
            </w:r>
            <w:r>
              <w:rPr>
                <w:rFonts w:ascii="仿宋_GB2312" w:hAnsi="仿宋_GB2312" w:cs="仿宋_GB2312" w:eastAsia="仿宋_GB2312"/>
                <w:sz w:val="21"/>
              </w:rPr>
              <w:t>→现状评估→方案编制→成果审查→报批实施五步闭环推进，核心是数据精准、方案落地、合规审批、长效运维。</w:t>
            </w:r>
          </w:p>
          <w:p>
            <w:pPr>
              <w:pStyle w:val="null3"/>
              <w:jc w:val="both"/>
            </w:pPr>
            <w:r>
              <w:rPr>
                <w:rFonts w:ascii="仿宋_GB2312" w:hAnsi="仿宋_GB2312" w:cs="仿宋_GB2312" w:eastAsia="仿宋_GB2312"/>
                <w:sz w:val="21"/>
                <w:b/>
              </w:rPr>
              <w:t>（二）项目编制依据</w:t>
            </w:r>
          </w:p>
          <w:p>
            <w:pPr>
              <w:pStyle w:val="null3"/>
              <w:ind w:firstLine="420"/>
              <w:jc w:val="both"/>
            </w:pPr>
            <w:r>
              <w:rPr>
                <w:rFonts w:ascii="仿宋_GB2312" w:hAnsi="仿宋_GB2312" w:cs="仿宋_GB2312" w:eastAsia="仿宋_GB2312"/>
                <w:sz w:val="21"/>
              </w:rPr>
              <w:t>国家相关法律法规、技术依据、政策文件，规划需衔接国家、陕西省、渭南市</w:t>
            </w:r>
            <w:r>
              <w:rPr>
                <w:rFonts w:ascii="仿宋_GB2312" w:hAnsi="仿宋_GB2312" w:cs="仿宋_GB2312" w:eastAsia="仿宋_GB2312"/>
                <w:sz w:val="21"/>
              </w:rPr>
              <w:t>“十五五”规划、韩城市最新国土空间规划、“渭南市住房和城乡建设局关于印发污水收集处理效能提升2025年工作要点及分工的通知”和“渭南市人民政府办公室关于印发渭南市城镇污水收集处理效能提升工作方案的通知”相关内容。</w:t>
            </w:r>
          </w:p>
          <w:p>
            <w:pPr>
              <w:pStyle w:val="null3"/>
              <w:jc w:val="both"/>
            </w:pPr>
            <w:r>
              <w:rPr>
                <w:rFonts w:ascii="仿宋_GB2312" w:hAnsi="仿宋_GB2312" w:cs="仿宋_GB2312" w:eastAsia="仿宋_GB2312"/>
                <w:sz w:val="21"/>
                <w:b/>
              </w:rPr>
              <w:t>（三）项目成果要求</w:t>
            </w:r>
          </w:p>
          <w:p>
            <w:pPr>
              <w:pStyle w:val="null3"/>
              <w:ind w:firstLine="420"/>
              <w:jc w:val="both"/>
            </w:pPr>
            <w:r>
              <w:rPr>
                <w:rFonts w:ascii="仿宋_GB2312" w:hAnsi="仿宋_GB2312" w:cs="仿宋_GB2312" w:eastAsia="仿宋_GB2312"/>
                <w:sz w:val="21"/>
              </w:rPr>
              <w:t>按照韩城市住房和城乡建设局规定的时间节点向甲方提交规定的所有纸质成果和电子数据（包括文本、附件等）。</w:t>
            </w:r>
          </w:p>
          <w:p>
            <w:pPr>
              <w:pStyle w:val="null3"/>
              <w:jc w:val="both"/>
            </w:pPr>
            <w:r>
              <w:rPr>
                <w:rFonts w:ascii="仿宋_GB2312" w:hAnsi="仿宋_GB2312" w:cs="仿宋_GB2312" w:eastAsia="仿宋_GB2312"/>
                <w:sz w:val="21"/>
                <w:b/>
              </w:rPr>
              <w:t>（四）项目质量要求</w:t>
            </w:r>
          </w:p>
          <w:p>
            <w:pPr>
              <w:pStyle w:val="null3"/>
            </w:pPr>
            <w:r>
              <w:rPr>
                <w:rFonts w:ascii="仿宋_GB2312" w:hAnsi="仿宋_GB2312" w:cs="仿宋_GB2312" w:eastAsia="仿宋_GB2312"/>
                <w:sz w:val="21"/>
              </w:rPr>
              <w:t>规划成果应遵循合规性、科学性、落地性、协同性、长效性原则，紧扣提升污水收集率和污水处理效能核心目标，确保规划文本、图纸、数据全维度精准规范，可直接指导工程建设、运维管理。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根据采购人关于项目的任务安排，明确相应的技术部门，以及足够的、相对固定的技术人员，作为完成本项目的基本力量，建立明确的内部管理模式，建立健全质量保证体系，保证工作质量和进度。参与项目的人员应当遵守国家法律法规，责任心强，专业素质高，技术能力强，掌握现行相关标准、规范和政策</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自签订合同之日起120日历日，具体时间以主管部门文件为准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该项目规划编制完成后，经专家评审、韩城市政府专题会议审议通过后视为验收通过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方案编制完成，获得韩城市住房和城乡建设局党组会确认通过</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（一）合同实施 1.成交供应商应在合同签订后3个日历日内安排人员与采购人就相关工作进行安排、部署。 2.若因成交供应商原因未能如期完成合同规定的义务，由此对采购人造成的延误和一切损失，由成交供应商承担和赔偿。 （二）其他 1.纸质投标文件：成交供应商在领取成交通知书时提供一正两副纸质投标文件，装订：纸质投标文件采用书籍（胶装）方式装订成册，与电子投标文件一致的签字、盖章的完整版本。 2.代理服务费账号信息：公司名称：建信众诚工程咨询有限公司 ，账户：209011580000085788 ，开户行：西安银行股份有限公司东二环南段支行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提供2022年至今任意一年完整的财务审计报告或响应文件提交截止时间前六个月内银行出具的资信证明，其他组织和自然人提供银行出具的资信证明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在提交响应文件截止时间前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供应商应具备行政主管部门颁发的城乡规划编制乙级以上（含乙级）资质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服务内容及服务邀请应答表 中小企业声明函 商务应答表 企业业绩.docx 供应商声明.docx 报价表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服务内容及服务邀请应答表 中小企业声明函 商务应答表 企业业绩.docx 供应商声明.docx 报价表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企业业绩.docx 供应商声明.docx 报价表 响应文件封面 供应商应提交的相关资格证明材料.docx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企业业绩.docx 供应商声明.docx 报价表 响应文件封面 供应商应提交的相关资格证明材料.docx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项目理解分析内容包括 ①项目背景及现状了解程度；②服务内容及范围的理解程度；③对本项目采购需求的重点难点工作的把握与分析。以上内容专门针对本项目且阐述准确、全面、深入、透彻得 9 分；评审内容每缺一项扣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服务方案内容包括①主要设计思路；②设计依据；③主要目标④重点任务和主要设计方案等。以上内容专门针对本项目且阐述准确、全面、深入、透彻得 16 分，评审内容缺一项扣 4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项目实施进度计划内容包括①实施进度方案；②进度保障措施；③工作阶段任务划分。以上内容专门针对本项目且阐述明细、全面、合理、进度安排科学合理，关键时间点把握准确得 12 分，评审内容缺一项扣 4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质量保证措施内容包括①质量目标；②质量保障措施； ③成果文件质量控制措施；④进度保障措施。以上内容专门针对本项目且阐述明细、全面、合理得 12 分，每缺一项内容扣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 的，一处扣 1 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风险防控</w:t>
            </w:r>
          </w:p>
        </w:tc>
        <w:tc>
          <w:tcPr>
            <w:tcW w:type="dxa" w:w="2492"/>
          </w:tcPr>
          <w:p>
            <w:pPr>
              <w:pStyle w:val="null3"/>
            </w:pPr>
            <w:r>
              <w:rPr>
                <w:rFonts w:ascii="仿宋_GB2312" w:hAnsi="仿宋_GB2312" w:cs="仿宋_GB2312" w:eastAsia="仿宋_GB2312"/>
              </w:rPr>
              <w:t>根据供应商提供的风险防控方案(包括但不限于①风险识别；②风险评估；③风险防范措施)进行综合评审。 前述要求的方案内容均有描述且符合本项目要求的得 9分；每缺少一项要求的方案内容扣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 、拟派项目负责人具有市政工程类相关专业高级或以上技术职称的得1分；项目负责人具有中华人民共和国注册公用设备工程师(给水排水)资格证的，得1分； 2、除项目负责人外其他项目人员具有市政工程类相关专业中级或以上职称的，每有一人得 1分，最高得 5 分（注：提供证书复印件或扫描件加盖供应商公章，不提供不得分）。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①组织机构设置方案②团队的职能分工及职责划分方案。机构设置合理、团队人员职责划分明确、团队配置满足项目情况及需要，人员专业能力能有效保障项目服务质量，内容描述详细，架构清晰的得6 分。评审内容每缺一项扣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内部管理制度内容包括①业务质量控制制度；②信息反馈渠道及风险控制制度；③保密承诺。以上内容专门针对本项目且阐述明细、全面、合理得 9 分，每缺一项内容扣 3 分,扣完为止；每有一项要求的方案内容有一处错误的(错误是指：对同一问题前后表述矛盾的，或逻辑错误的，或缺少关键节点，或涉及的规范及标准错误，或表述内容不完整，或不利于项目实施、不可能实现的情形等任意一种情形) ，一处扣 0.5 分，扣完为止；每有一项要求的方案内容有一处描述不切合项目实际的，一处扣 1 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 2021 年 1 月至响应文件递交截止日类似项目业绩（提供合同复印件加盖供应商公章，以合同签订日期为准），每提供一份业绩得2分，最高得 10 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采用低价优先法计算，即满足磋商文件要求且最后磋商报价最低的磋商价格为磋商基准价，其价格分为满分。其他供应商价格分统一按照下列公式计算：磋商报价得分＝（磋商基准价/最后磋商报价）×价格权值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