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B2BC9">
      <w:pPr>
        <w:pStyle w:val="3"/>
        <w:keepNext/>
        <w:pageBreakBefore w:val="0"/>
        <w:widowControl w:val="0"/>
        <w:shd w:val="clear" w:color="auto" w:fill="auto"/>
        <w:kinsoku/>
        <w:wordWrap/>
        <w:overflowPunct/>
        <w:topLinePunct w:val="0"/>
        <w:bidi w:val="0"/>
        <w:rPr>
          <w:rFonts w:hint="eastAsia" w:ascii="宋体" w:hAnsi="宋体" w:cs="宋体"/>
          <w:highlight w:val="none"/>
        </w:rPr>
      </w:pPr>
    </w:p>
    <w:p w14:paraId="19BD6226">
      <w:pPr>
        <w:keepNext/>
        <w:pageBreakBefore w:val="0"/>
        <w:widowControl w:val="0"/>
        <w:kinsoku/>
        <w:wordWrap/>
        <w:overflowPunct/>
        <w:topLinePunct w:val="0"/>
        <w:bidi w:val="0"/>
        <w:rPr>
          <w:rFonts w:hint="eastAsia"/>
          <w:highlight w:val="none"/>
        </w:rPr>
      </w:pPr>
    </w:p>
    <w:p w14:paraId="2BF5ADE7">
      <w:pPr>
        <w:pStyle w:val="3"/>
        <w:keepNext/>
        <w:pageBreakBefore w:val="0"/>
        <w:widowControl w:val="0"/>
        <w:shd w:val="clear" w:color="auto" w:fill="auto"/>
        <w:kinsoku/>
        <w:wordWrap/>
        <w:overflowPunct/>
        <w:topLinePunct w:val="0"/>
        <w:bidi w:val="0"/>
        <w:rPr>
          <w:rFonts w:hint="eastAsia" w:ascii="宋体" w:hAnsi="宋体" w:cs="宋体"/>
          <w:highlight w:val="none"/>
        </w:rPr>
      </w:pPr>
    </w:p>
    <w:p w14:paraId="7EC92DF6">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韩城市教育</w:t>
      </w:r>
      <w:r>
        <w:rPr>
          <w:rFonts w:hint="eastAsia" w:ascii="宋体" w:hAnsi="宋体" w:cs="宋体"/>
          <w:b/>
          <w:color w:val="000000"/>
          <w:sz w:val="44"/>
          <w:szCs w:val="44"/>
          <w:lang w:val="en-US" w:eastAsia="zh-CN"/>
        </w:rPr>
        <w:t>体育</w:t>
      </w:r>
      <w:r>
        <w:rPr>
          <w:rFonts w:hint="eastAsia" w:ascii="宋体" w:hAnsi="宋体" w:eastAsia="宋体" w:cs="宋体"/>
          <w:b/>
          <w:color w:val="000000"/>
          <w:sz w:val="44"/>
          <w:szCs w:val="44"/>
        </w:rPr>
        <w:t>局</w:t>
      </w:r>
    </w:p>
    <w:p w14:paraId="25A8ECCE">
      <w:pPr>
        <w:spacing w:line="820" w:lineRule="exact"/>
        <w:jc w:val="center"/>
        <w:rPr>
          <w:rFonts w:hint="eastAsia" w:ascii="宋体" w:hAnsi="宋体" w:eastAsia="宋体" w:cs="宋体"/>
          <w:b/>
          <w:color w:val="000000"/>
          <w:sz w:val="44"/>
          <w:szCs w:val="44"/>
        </w:rPr>
      </w:pPr>
      <w:r>
        <w:rPr>
          <w:rFonts w:hint="eastAsia" w:ascii="宋体" w:hAnsi="宋体" w:cs="宋体"/>
          <w:b/>
          <w:color w:val="000000"/>
          <w:sz w:val="44"/>
          <w:szCs w:val="44"/>
          <w:u w:val="single"/>
          <w:lang w:val="en-US" w:eastAsia="zh-CN"/>
        </w:rPr>
        <w:t xml:space="preserve">         </w:t>
      </w:r>
      <w:r>
        <w:rPr>
          <w:rFonts w:hint="eastAsia" w:ascii="宋体" w:hAnsi="宋体" w:eastAsia="宋体" w:cs="宋体"/>
          <w:b/>
          <w:color w:val="000000"/>
          <w:sz w:val="44"/>
          <w:szCs w:val="44"/>
        </w:rPr>
        <w:t>采购项目</w:t>
      </w:r>
    </w:p>
    <w:p w14:paraId="2EA69EE4">
      <w:pPr>
        <w:spacing w:line="82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第</w:t>
      </w:r>
      <w:r>
        <w:rPr>
          <w:rFonts w:hint="eastAsia" w:ascii="宋体" w:hAnsi="宋体" w:cs="宋体"/>
          <w:b/>
          <w:bCs/>
          <w:sz w:val="44"/>
          <w:szCs w:val="44"/>
          <w:lang w:val="en-US" w:eastAsia="zh-CN"/>
        </w:rPr>
        <w:t xml:space="preserve">  </w:t>
      </w:r>
      <w:r>
        <w:rPr>
          <w:rFonts w:hint="eastAsia" w:ascii="宋体" w:hAnsi="宋体" w:eastAsia="宋体" w:cs="宋体"/>
          <w:b/>
          <w:bCs/>
          <w:sz w:val="44"/>
          <w:szCs w:val="44"/>
          <w:lang w:eastAsia="zh-CN"/>
        </w:rPr>
        <w:t>包：</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p>
    <w:p w14:paraId="107FF0E0">
      <w:pPr>
        <w:keepNext/>
        <w:pageBreakBefore w:val="0"/>
        <w:widowControl w:val="0"/>
        <w:shd w:val="clear" w:color="auto" w:fill="auto"/>
        <w:kinsoku/>
        <w:wordWrap/>
        <w:overflowPunct/>
        <w:topLinePunct w:val="0"/>
        <w:bidi w:val="0"/>
        <w:rPr>
          <w:rFonts w:hint="eastAsia" w:ascii="宋体" w:hAnsi="宋体" w:cs="宋体"/>
          <w:sz w:val="24"/>
          <w:szCs w:val="24"/>
          <w:highlight w:val="none"/>
        </w:rPr>
      </w:pPr>
    </w:p>
    <w:p w14:paraId="0C94553F">
      <w:pPr>
        <w:pStyle w:val="10"/>
        <w:keepNext/>
        <w:pageBreakBefore w:val="0"/>
        <w:widowControl w:val="0"/>
        <w:shd w:val="clear" w:color="auto" w:fill="auto"/>
        <w:kinsoku/>
        <w:wordWrap/>
        <w:overflowPunct/>
        <w:topLinePunct w:val="0"/>
        <w:bidi w:val="0"/>
        <w:rPr>
          <w:rFonts w:hint="eastAsia" w:ascii="宋体" w:hAnsi="宋体" w:cs="宋体"/>
          <w:sz w:val="22"/>
          <w:szCs w:val="28"/>
          <w:highlight w:val="none"/>
        </w:rPr>
      </w:pPr>
    </w:p>
    <w:p w14:paraId="1B6803DB">
      <w:pPr>
        <w:pStyle w:val="10"/>
        <w:keepNext/>
        <w:pageBreakBefore w:val="0"/>
        <w:widowControl w:val="0"/>
        <w:shd w:val="clear" w:color="auto" w:fill="auto"/>
        <w:kinsoku/>
        <w:wordWrap/>
        <w:overflowPunct/>
        <w:topLinePunct w:val="0"/>
        <w:bidi w:val="0"/>
        <w:rPr>
          <w:rFonts w:hint="eastAsia" w:ascii="宋体" w:hAnsi="宋体" w:cs="宋体"/>
          <w:sz w:val="22"/>
          <w:szCs w:val="28"/>
          <w:highlight w:val="none"/>
        </w:rPr>
      </w:pPr>
    </w:p>
    <w:p w14:paraId="7AC7AAAE">
      <w:pPr>
        <w:pStyle w:val="3"/>
        <w:keepNext/>
        <w:pageBreakBefore w:val="0"/>
        <w:widowControl w:val="0"/>
        <w:shd w:val="clear" w:color="auto" w:fill="auto"/>
        <w:kinsoku/>
        <w:wordWrap/>
        <w:overflowPunct/>
        <w:topLinePunct w:val="0"/>
        <w:bidi w:val="0"/>
        <w:rPr>
          <w:rFonts w:hint="eastAsia" w:ascii="宋体" w:hAnsi="宋体" w:cs="宋体"/>
          <w:kern w:val="2"/>
          <w:sz w:val="28"/>
          <w:szCs w:val="28"/>
          <w:highlight w:val="none"/>
        </w:rPr>
      </w:pPr>
    </w:p>
    <w:p w14:paraId="433FF07E">
      <w:pPr>
        <w:pStyle w:val="6"/>
        <w:keepNext/>
        <w:pageBreakBefore w:val="0"/>
        <w:widowControl w:val="0"/>
        <w:shd w:val="clear" w:color="auto" w:fill="auto"/>
        <w:kinsoku/>
        <w:wordWrap/>
        <w:overflowPunct/>
        <w:topLinePunct w:val="0"/>
        <w:bidi w:val="0"/>
        <w:outlineLvl w:val="9"/>
        <w:rPr>
          <w:rFonts w:hint="eastAsia" w:ascii="宋体" w:hAnsi="宋体" w:eastAsia="宋体" w:cs="宋体"/>
          <w:kern w:val="2"/>
          <w:sz w:val="28"/>
          <w:szCs w:val="28"/>
          <w:highlight w:val="none"/>
          <w:lang w:eastAsia="zh-CN"/>
        </w:rPr>
      </w:pPr>
    </w:p>
    <w:p w14:paraId="5C3518D0">
      <w:pPr>
        <w:keepNext/>
        <w:pageBreakBefore w:val="0"/>
        <w:widowControl w:val="0"/>
        <w:kinsoku/>
        <w:wordWrap/>
        <w:overflowPunct/>
        <w:topLinePunct w:val="0"/>
        <w:bidi w:val="0"/>
        <w:rPr>
          <w:rFonts w:hint="eastAsia"/>
          <w:highlight w:val="none"/>
          <w:lang w:eastAsia="zh-CN"/>
        </w:rPr>
      </w:pPr>
    </w:p>
    <w:p w14:paraId="0B5AFE6A">
      <w:pPr>
        <w:keepNext/>
        <w:pageBreakBefore w:val="0"/>
        <w:widowControl w:val="0"/>
        <w:shd w:val="clear" w:color="auto" w:fill="auto"/>
        <w:kinsoku/>
        <w:wordWrap/>
        <w:overflowPunct/>
        <w:topLinePunct w:val="0"/>
        <w:bidi w:val="0"/>
        <w:adjustRightInd/>
        <w:snapToGrid/>
        <w:spacing w:after="0"/>
        <w:jc w:val="both"/>
        <w:rPr>
          <w:rFonts w:hint="eastAsia" w:ascii="宋体" w:hAnsi="宋体" w:cs="宋体"/>
          <w:b/>
          <w:bCs/>
          <w:kern w:val="2"/>
          <w:sz w:val="32"/>
          <w:szCs w:val="32"/>
          <w:highlight w:val="none"/>
        </w:rPr>
      </w:pPr>
    </w:p>
    <w:p w14:paraId="60F1363A">
      <w:pPr>
        <w:keepNext/>
        <w:pageBreakBefore w:val="0"/>
        <w:widowControl w:val="0"/>
        <w:shd w:val="clear" w:color="auto" w:fill="auto"/>
        <w:kinsoku/>
        <w:wordWrap/>
        <w:overflowPunct/>
        <w:topLinePunct w:val="0"/>
        <w:bidi w:val="0"/>
        <w:adjustRightInd/>
        <w:snapToGrid/>
        <w:spacing w:after="0"/>
        <w:jc w:val="center"/>
        <w:rPr>
          <w:rFonts w:hint="eastAsia" w:ascii="宋体" w:hAnsi="宋体" w:eastAsia="宋体" w:cs="宋体"/>
          <w:b/>
          <w:bCs/>
          <w:kern w:val="2"/>
          <w:sz w:val="32"/>
          <w:szCs w:val="32"/>
          <w:highlight w:val="none"/>
          <w:lang w:eastAsia="zh-CN"/>
        </w:rPr>
      </w:pPr>
      <w:r>
        <w:rPr>
          <w:rFonts w:hint="eastAsia" w:ascii="宋体" w:hAnsi="宋体" w:cs="宋体"/>
          <w:b/>
          <w:bCs/>
          <w:kern w:val="2"/>
          <w:sz w:val="32"/>
          <w:szCs w:val="32"/>
          <w:highlight w:val="none"/>
        </w:rPr>
        <w:t>委托人（甲方）：</w:t>
      </w:r>
    </w:p>
    <w:p w14:paraId="6F613653">
      <w:pPr>
        <w:keepNext/>
        <w:pageBreakBefore w:val="0"/>
        <w:widowControl w:val="0"/>
        <w:shd w:val="clear" w:color="auto" w:fill="auto"/>
        <w:kinsoku/>
        <w:wordWrap/>
        <w:overflowPunct/>
        <w:topLinePunct w:val="0"/>
        <w:bidi w:val="0"/>
        <w:adjustRightInd/>
        <w:snapToGrid/>
        <w:spacing w:after="0"/>
        <w:ind w:firstLine="964" w:firstLineChars="300"/>
        <w:jc w:val="center"/>
        <w:rPr>
          <w:rFonts w:hint="eastAsia" w:ascii="宋体" w:hAnsi="宋体" w:cs="宋体"/>
          <w:b/>
          <w:bCs/>
          <w:kern w:val="2"/>
          <w:sz w:val="32"/>
          <w:szCs w:val="32"/>
          <w:highlight w:val="none"/>
        </w:rPr>
      </w:pPr>
    </w:p>
    <w:p w14:paraId="30940437">
      <w:pPr>
        <w:keepNext/>
        <w:pageBreakBefore w:val="0"/>
        <w:widowControl w:val="0"/>
        <w:shd w:val="clear" w:color="auto" w:fill="auto"/>
        <w:kinsoku/>
        <w:wordWrap/>
        <w:overflowPunct/>
        <w:topLinePunct w:val="0"/>
        <w:bidi w:val="0"/>
        <w:adjustRightInd/>
        <w:snapToGrid/>
        <w:spacing w:after="0"/>
        <w:jc w:val="center"/>
        <w:rPr>
          <w:rFonts w:hint="eastAsia" w:ascii="宋体" w:hAnsi="宋体" w:cs="宋体"/>
          <w:b/>
          <w:bCs/>
          <w:kern w:val="2"/>
          <w:sz w:val="32"/>
          <w:szCs w:val="32"/>
          <w:highlight w:val="none"/>
        </w:rPr>
      </w:pPr>
      <w:r>
        <w:rPr>
          <w:rFonts w:hint="eastAsia" w:ascii="宋体" w:hAnsi="宋体" w:cs="宋体"/>
          <w:b/>
          <w:bCs/>
          <w:kern w:val="2"/>
          <w:sz w:val="32"/>
          <w:szCs w:val="32"/>
          <w:highlight w:val="none"/>
        </w:rPr>
        <w:t>受托人（乙方）：</w:t>
      </w:r>
    </w:p>
    <w:p w14:paraId="3D93BA53">
      <w:pPr>
        <w:pStyle w:val="10"/>
        <w:keepNext/>
        <w:pageBreakBefore w:val="0"/>
        <w:widowControl w:val="0"/>
        <w:shd w:val="clear" w:color="auto" w:fill="auto"/>
        <w:kinsoku/>
        <w:wordWrap/>
        <w:overflowPunct/>
        <w:topLinePunct w:val="0"/>
        <w:bidi w:val="0"/>
        <w:rPr>
          <w:rFonts w:hint="eastAsia" w:ascii="宋体" w:hAnsi="宋体" w:cs="宋体"/>
          <w:b/>
          <w:bCs/>
          <w:sz w:val="32"/>
          <w:szCs w:val="32"/>
          <w:highlight w:val="none"/>
        </w:rPr>
      </w:pPr>
    </w:p>
    <w:p w14:paraId="5EFDE9D3">
      <w:pPr>
        <w:pStyle w:val="10"/>
        <w:keepNext/>
        <w:pageBreakBefore w:val="0"/>
        <w:widowControl w:val="0"/>
        <w:shd w:val="clear" w:color="auto" w:fill="auto"/>
        <w:kinsoku/>
        <w:wordWrap/>
        <w:overflowPunct/>
        <w:topLinePunct w:val="0"/>
        <w:bidi w:val="0"/>
        <w:rPr>
          <w:rFonts w:hint="eastAsia" w:ascii="宋体" w:hAnsi="宋体" w:cs="宋体"/>
          <w:b/>
          <w:bCs/>
          <w:sz w:val="32"/>
          <w:szCs w:val="32"/>
          <w:highlight w:val="none"/>
        </w:rPr>
      </w:pPr>
    </w:p>
    <w:p w14:paraId="6D44544E">
      <w:pPr>
        <w:keepNext/>
        <w:pageBreakBefore w:val="0"/>
        <w:widowControl w:val="0"/>
        <w:shd w:val="clear" w:color="auto" w:fill="auto"/>
        <w:kinsoku/>
        <w:wordWrap/>
        <w:overflowPunct/>
        <w:topLinePunct w:val="0"/>
        <w:bidi w:val="0"/>
        <w:ind w:firstLine="2891" w:firstLineChars="900"/>
        <w:jc w:val="both"/>
        <w:rPr>
          <w:rFonts w:hint="eastAsia" w:ascii="宋体" w:hAnsi="宋体" w:cs="宋体"/>
          <w:b/>
          <w:bCs/>
          <w:sz w:val="32"/>
          <w:szCs w:val="32"/>
          <w:highlight w:val="none"/>
        </w:rPr>
      </w:pPr>
    </w:p>
    <w:p w14:paraId="6A9053FB">
      <w:pPr>
        <w:keepNext/>
        <w:pageBreakBefore w:val="0"/>
        <w:widowControl w:val="0"/>
        <w:shd w:val="clear" w:color="auto" w:fill="auto"/>
        <w:kinsoku/>
        <w:wordWrap/>
        <w:overflowPunct/>
        <w:topLinePunct w:val="0"/>
        <w:bidi w:val="0"/>
        <w:jc w:val="center"/>
        <w:rPr>
          <w:rFonts w:hint="eastAsia" w:ascii="宋体" w:hAnsi="宋体" w:cs="宋体"/>
          <w:b/>
          <w:bCs/>
          <w:sz w:val="32"/>
          <w:szCs w:val="32"/>
          <w:highlight w:val="none"/>
          <w:lang w:val="en-US" w:eastAsia="zh-CN"/>
        </w:rPr>
      </w:pPr>
      <w:r>
        <w:rPr>
          <w:rFonts w:hint="eastAsia" w:ascii="宋体" w:hAnsi="宋体" w:cs="宋体"/>
          <w:b/>
          <w:bCs/>
          <w:sz w:val="32"/>
          <w:szCs w:val="32"/>
          <w:highlight w:val="none"/>
        </w:rPr>
        <w:t>签订时间：</w:t>
      </w:r>
      <w:r>
        <w:rPr>
          <w:rFonts w:hint="eastAsia" w:ascii="宋体" w:hAnsi="宋体" w:cs="宋体"/>
          <w:b/>
          <w:bCs/>
          <w:sz w:val="32"/>
          <w:szCs w:val="32"/>
          <w:highlight w:val="none"/>
          <w:lang w:val="en-US" w:eastAsia="zh-CN"/>
        </w:rPr>
        <w:t xml:space="preserve"> </w:t>
      </w:r>
      <w:r>
        <w:rPr>
          <w:rFonts w:hint="eastAsia" w:ascii="宋体" w:hAnsi="宋体" w:cs="宋体"/>
          <w:b/>
          <w:bCs/>
          <w:sz w:val="32"/>
          <w:szCs w:val="32"/>
          <w:highlight w:val="none"/>
        </w:rPr>
        <w:t>年 月</w:t>
      </w:r>
      <w:r>
        <w:rPr>
          <w:rFonts w:hint="eastAsia" w:ascii="宋体" w:hAnsi="宋体" w:cs="宋体"/>
          <w:b/>
          <w:bCs/>
          <w:sz w:val="32"/>
          <w:szCs w:val="32"/>
          <w:highlight w:val="none"/>
          <w:lang w:val="en-US" w:eastAsia="zh-CN"/>
        </w:rPr>
        <w:t xml:space="preserve"> 日</w:t>
      </w:r>
    </w:p>
    <w:p w14:paraId="07F9F1EA">
      <w:pPr>
        <w:pStyle w:val="2"/>
        <w:rPr>
          <w:rFonts w:hint="eastAsia"/>
          <w:lang w:val="en-US" w:eastAsia="zh-CN"/>
        </w:rPr>
      </w:pPr>
    </w:p>
    <w:p w14:paraId="224C3F0C">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韩城市教育</w:t>
      </w:r>
      <w:r>
        <w:rPr>
          <w:rFonts w:hint="eastAsia" w:ascii="宋体" w:hAnsi="宋体" w:cs="宋体"/>
          <w:sz w:val="28"/>
          <w:szCs w:val="28"/>
          <w:lang w:val="en-US" w:eastAsia="zh-CN"/>
        </w:rPr>
        <w:t>体育</w:t>
      </w:r>
      <w:r>
        <w:rPr>
          <w:rFonts w:hint="eastAsia" w:ascii="宋体" w:hAnsi="宋体" w:eastAsia="宋体" w:cs="宋体"/>
          <w:sz w:val="28"/>
          <w:szCs w:val="28"/>
        </w:rPr>
        <w:t>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p>
    <w:p w14:paraId="6E5A14AD">
      <w:pPr>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cs="宋体"/>
          <w:sz w:val="28"/>
          <w:szCs w:val="28"/>
          <w:lang w:val="en-US" w:eastAsia="zh-CN"/>
        </w:rPr>
        <w:t>6</w:t>
      </w:r>
      <w:r>
        <w:rPr>
          <w:rFonts w:hint="eastAsia" w:ascii="宋体" w:hAnsi="宋体" w:eastAsia="宋体" w:cs="宋体"/>
          <w:sz w:val="28"/>
          <w:szCs w:val="28"/>
        </w:rPr>
        <w:t>年</w:t>
      </w:r>
      <w:r>
        <w:rPr>
          <w:rFonts w:hint="eastAsia" w:ascii="宋体" w:hAnsi="宋体" w:cs="宋体"/>
          <w:sz w:val="28"/>
          <w:szCs w:val="28"/>
          <w:lang w:val="en-US" w:eastAsia="zh-CN"/>
        </w:rPr>
        <w:t>X</w:t>
      </w:r>
      <w:r>
        <w:rPr>
          <w:rFonts w:hint="eastAsia" w:ascii="宋体" w:hAnsi="宋体" w:eastAsia="宋体" w:cs="宋体"/>
          <w:sz w:val="28"/>
          <w:szCs w:val="28"/>
        </w:rPr>
        <w:t>月</w:t>
      </w:r>
      <w:r>
        <w:rPr>
          <w:rFonts w:hint="eastAsia" w:ascii="宋体" w:hAnsi="宋体" w:cs="宋体"/>
          <w:sz w:val="28"/>
          <w:szCs w:val="28"/>
          <w:lang w:val="en-US" w:eastAsia="zh-CN"/>
        </w:rPr>
        <w:t>XX</w:t>
      </w:r>
      <w:r>
        <w:rPr>
          <w:rFonts w:hint="eastAsia" w:ascii="宋体" w:hAnsi="宋体" w:eastAsia="宋体" w:cs="宋体"/>
          <w:sz w:val="28"/>
          <w:szCs w:val="28"/>
        </w:rPr>
        <w:t>日韩城市教育</w:t>
      </w:r>
      <w:r>
        <w:rPr>
          <w:rFonts w:hint="eastAsia" w:ascii="宋体" w:hAnsi="宋体" w:cs="宋体"/>
          <w:sz w:val="28"/>
          <w:szCs w:val="28"/>
          <w:lang w:val="en-US" w:eastAsia="zh-CN"/>
        </w:rPr>
        <w:t>体育</w:t>
      </w:r>
      <w:r>
        <w:rPr>
          <w:rFonts w:hint="eastAsia" w:ascii="宋体" w:hAnsi="宋体" w:eastAsia="宋体" w:cs="宋体"/>
          <w:sz w:val="28"/>
          <w:szCs w:val="28"/>
        </w:rPr>
        <w:t>局</w:t>
      </w:r>
      <w:r>
        <w:rPr>
          <w:rFonts w:hint="eastAsia" w:ascii="宋体" w:hAnsi="宋体" w:cs="宋体"/>
          <w:sz w:val="28"/>
          <w:szCs w:val="28"/>
          <w:u w:val="single"/>
          <w:lang w:val="en-US" w:eastAsia="zh-CN"/>
        </w:rPr>
        <w:t xml:space="preserve">   （项目名称</w:t>
      </w:r>
      <w:bookmarkStart w:id="0" w:name="_GoBack"/>
      <w:bookmarkEnd w:id="0"/>
      <w:r>
        <w:rPr>
          <w:rFonts w:hint="eastAsia" w:ascii="宋体" w:hAnsi="宋体" w:cs="宋体"/>
          <w:sz w:val="28"/>
          <w:szCs w:val="28"/>
          <w:u w:val="single"/>
          <w:lang w:val="en-US" w:eastAsia="zh-CN"/>
        </w:rPr>
        <w:t xml:space="preserve">）    </w:t>
      </w:r>
      <w:r>
        <w:rPr>
          <w:rFonts w:hint="eastAsia" w:ascii="宋体" w:hAnsi="宋体" w:eastAsia="宋体" w:cs="宋体"/>
          <w:sz w:val="28"/>
          <w:szCs w:val="28"/>
        </w:rPr>
        <w:t>（项目编号：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cs="宋体"/>
          <w:sz w:val="28"/>
          <w:szCs w:val="28"/>
          <w:lang w:val="en-US" w:eastAsia="zh-CN"/>
        </w:rPr>
        <w:t xml:space="preserve">   </w:t>
      </w:r>
      <w:r>
        <w:rPr>
          <w:rFonts w:hint="eastAsia" w:ascii="宋体" w:hAnsi="宋体" w:eastAsia="宋体" w:cs="宋体"/>
          <w:sz w:val="28"/>
          <w:szCs w:val="28"/>
        </w:rPr>
        <w:t>）招标文件、投标文件的内容及中标结果，经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p>
    <w:p w14:paraId="64655F4D">
      <w:pPr>
        <w:keepNext w:val="0"/>
        <w:keepLines w:val="0"/>
        <w:pageBreakBefore w:val="0"/>
        <w:numPr>
          <w:ilvl w:val="0"/>
          <w:numId w:val="1"/>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tbl>
      <w:tblPr>
        <w:tblStyle w:val="8"/>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0"/>
        <w:gridCol w:w="999"/>
        <w:gridCol w:w="1266"/>
        <w:gridCol w:w="1656"/>
        <w:gridCol w:w="760"/>
        <w:gridCol w:w="761"/>
        <w:gridCol w:w="776"/>
        <w:gridCol w:w="921"/>
        <w:gridCol w:w="780"/>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8"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0CB6">
            <w:pPr>
              <w:spacing w:line="360" w:lineRule="auto"/>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小写：  大写：</w:t>
            </w:r>
          </w:p>
        </w:tc>
      </w:tr>
    </w:tbl>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381EA333">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 付款条件说明： 全部设备安装、调试及人员培训完成后，乙方开具正式发票 ，达到付款条件起 60 日内，支付合同总金额的 40.00%。</w:t>
      </w:r>
    </w:p>
    <w:p w14:paraId="507E3728">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 付款条件说明： 验收合格交付使用后 ，达到付款条件起 60 日内，支付合同总金额的 40.00%。</w:t>
      </w:r>
    </w:p>
    <w:p w14:paraId="0710DA6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 付款条件说明： 待审计完成后 ，达到付款条件起 60 日内，支付合同总金额的 20.00%。</w:t>
      </w:r>
    </w:p>
    <w:p w14:paraId="186D2452">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lang w:val="zh-CN"/>
        </w:rPr>
      </w:pPr>
      <w:r>
        <w:rPr>
          <w:rFonts w:hint="eastAsia" w:ascii="宋体" w:hAnsi="宋体" w:eastAsia="宋体" w:cs="宋体"/>
          <w:b/>
          <w:bCs/>
          <w:sz w:val="28"/>
          <w:szCs w:val="28"/>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highlight w:val="none"/>
          <w:lang w:val="zh-CN"/>
        </w:rPr>
      </w:pPr>
      <w:r>
        <w:rPr>
          <w:rFonts w:hint="eastAsia" w:ascii="宋体" w:hAnsi="宋体" w:eastAsia="宋体" w:cs="宋体"/>
          <w:bCs/>
          <w:sz w:val="28"/>
          <w:szCs w:val="28"/>
          <w:highlight w:val="none"/>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highlight w:val="none"/>
          <w:lang w:val="en-US" w:eastAsia="zh-CN"/>
        </w:rPr>
      </w:pPr>
      <w:r>
        <w:rPr>
          <w:rFonts w:hint="eastAsia" w:ascii="宋体" w:hAnsi="宋体" w:eastAsia="宋体" w:cs="宋体"/>
          <w:bCs/>
          <w:color w:val="auto"/>
          <w:sz w:val="28"/>
          <w:szCs w:val="28"/>
          <w:highlight w:val="none"/>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1、货物质量保证期：终验合格后</w:t>
      </w:r>
      <w:r>
        <w:rPr>
          <w:rFonts w:hint="eastAsia" w:ascii="宋体" w:hAnsi="宋体" w:cs="宋体"/>
          <w:b/>
          <w:bCs/>
          <w:sz w:val="28"/>
          <w:szCs w:val="28"/>
          <w:highlight w:val="none"/>
          <w:lang w:val="en-US" w:eastAsia="zh-CN"/>
        </w:rPr>
        <w:t>3年</w:t>
      </w:r>
      <w:r>
        <w:rPr>
          <w:rFonts w:hint="eastAsia" w:ascii="宋体" w:hAnsi="宋体" w:eastAsia="宋体" w:cs="宋体"/>
          <w:b/>
          <w:bCs/>
          <w:sz w:val="28"/>
          <w:szCs w:val="28"/>
          <w:highlight w:val="none"/>
        </w:rPr>
        <w:t>。</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highlight w:val="none"/>
        </w:rPr>
        <w:t>2、货物的设计、制造、材料、性能及服务均应遵照中华人</w:t>
      </w:r>
      <w:r>
        <w:rPr>
          <w:rFonts w:hint="eastAsia" w:ascii="宋体" w:hAnsi="宋体" w:eastAsia="宋体" w:cs="宋体"/>
          <w:sz w:val="28"/>
          <w:szCs w:val="28"/>
        </w:rPr>
        <w:t>民共和国国家、行业及地方现行的相关强制性规范、标准（以其中最严格者为准），并必须完全符合本合同及乙方投标文件中所承诺的技术标准与配置。</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保证其提供给甲方的货物及服务不侵犯任何第三方的知识产权（包括但不限于专利权、商标权、著作权等）。如发生任何第三方针对本合同项下货物或服务向甲方提出知识产权侵权指控或诉讼（以下简称“侵权索赔”），乙方应承担全部责任，包括但不限于为甲方进行抗辩、支付所有和解金额、损害赔偿金、诉讼费、律师费及其他相关费用，并负责采取更换、修改等必要措施使甲方能够继续不受妨碍地使用该货物。若因此导致甲方无法实现合同目的，甲方有权单方解除合同，要求乙方返还全部已支付款项，并承担合同总金额20%的违约金。</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-1、乙方在接到甲方保修电话故障通知后在</w:t>
      </w:r>
      <w:r>
        <w:rPr>
          <w:rFonts w:hint="eastAsia" w:ascii="宋体" w:hAnsi="宋体" w:eastAsia="宋体" w:cs="宋体"/>
          <w:sz w:val="28"/>
          <w:szCs w:val="28"/>
          <w:u w:val="single"/>
        </w:rPr>
        <w:t xml:space="preserve"> 4 </w:t>
      </w:r>
      <w:r>
        <w:rPr>
          <w:rFonts w:hint="eastAsia" w:ascii="宋体" w:hAnsi="宋体" w:eastAsia="宋体" w:cs="宋体"/>
          <w:sz w:val="28"/>
          <w:szCs w:val="28"/>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-2、如果乙方在收到通知后2天内没有弥补缺陷，甲方可采取必要的补救措施，但其风险和费用将由乙方承担，甲方根据合同规定对乙方行使的其它权力不受影响。甲方亦可从质保金中扣回索赔金额。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2"/>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2.乙方安装完毕后</w:t>
      </w:r>
      <w:r>
        <w:rPr>
          <w:rFonts w:hint="eastAsia" w:ascii="宋体" w:hAnsi="宋体" w:cs="宋体"/>
          <w:b w:val="0"/>
          <w:bCs/>
          <w:sz w:val="28"/>
          <w:szCs w:val="28"/>
          <w:lang w:val="en-US" w:eastAsia="zh-CN"/>
        </w:rPr>
        <w:t>联系设备所在学校</w:t>
      </w:r>
      <w:r>
        <w:rPr>
          <w:rFonts w:hint="eastAsia" w:ascii="宋体" w:hAnsi="宋体" w:eastAsia="宋体" w:cs="宋体"/>
          <w:b w:val="0"/>
          <w:bCs/>
          <w:sz w:val="28"/>
          <w:szCs w:val="28"/>
          <w:lang w:val="en-US" w:eastAsia="zh-CN"/>
        </w:rPr>
        <w:t>进行初验，初验合格后进入试运行，试运行</w:t>
      </w:r>
      <w:r>
        <w:rPr>
          <w:rFonts w:hint="eastAsia" w:ascii="宋体" w:hAnsi="宋体" w:cs="宋体"/>
          <w:b w:val="0"/>
          <w:bCs/>
          <w:sz w:val="28"/>
          <w:szCs w:val="28"/>
          <w:lang w:val="en-US" w:eastAsia="zh-CN"/>
        </w:rPr>
        <w:t>正常联系甲方</w:t>
      </w:r>
      <w:r>
        <w:rPr>
          <w:rFonts w:hint="eastAsia" w:ascii="宋体" w:hAnsi="宋体" w:eastAsia="宋体" w:cs="宋体"/>
          <w:b w:val="0"/>
          <w:bCs/>
          <w:sz w:val="28"/>
          <w:szCs w:val="28"/>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因乙方提供的产品存在缺陷（包括设计、制造、警示说明缺陷）或质量问题，导致任何第三方人身损害或财产损失的，由乙方独立承担全部法律责任（包括但不限于民事赔偿、行政罚款及刑事责任）。若甲方因此被卷入纠纷或被迫承担了任何形式的责任，甲方在承担后有权向乙方全额追偿，乙方还应赔偿甲方因此遭受的全部损失（包括为追偿而支出的律师费、诉讼费等）。</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lang w:eastAsia="zh-CN"/>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有权单方解除本合同。乙方除应按本条款前述约定支付误期赔偿费外，还应向甲方支付合同总金额20%的违约金。若该违约金不足以弥补甲方损失的，乙方还应赔偿甲方的全部损失（包括但不限于甲方为重新采购所支出的额外费用、项目延误损失等</w:t>
      </w:r>
      <w:r>
        <w:rPr>
          <w:rFonts w:hint="eastAsia" w:ascii="宋体" w:hAnsi="宋体" w:cs="宋体"/>
          <w:sz w:val="28"/>
          <w:szCs w:val="28"/>
          <w:lang w:eastAsia="zh-CN"/>
        </w:rPr>
        <w:t>）。</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w:t>
      </w:r>
      <w:r>
        <w:rPr>
          <w:rFonts w:hint="eastAsia" w:ascii="宋体" w:hAnsi="宋体" w:cs="宋体"/>
          <w:color w:val="000000"/>
          <w:kern w:val="0"/>
          <w:sz w:val="28"/>
          <w:szCs w:val="28"/>
          <w:lang w:val="en-US" w:eastAsia="zh-CN"/>
        </w:rPr>
        <w:t>甲</w:t>
      </w:r>
      <w:r>
        <w:rPr>
          <w:rFonts w:hint="eastAsia" w:ascii="宋体" w:hAnsi="宋体" w:eastAsia="宋体" w:cs="宋体"/>
          <w:color w:val="000000"/>
          <w:kern w:val="0"/>
          <w:sz w:val="28"/>
          <w:szCs w:val="28"/>
        </w:rPr>
        <w:t>乙</w:t>
      </w:r>
      <w:r>
        <w:rPr>
          <w:rFonts w:hint="eastAsia" w:ascii="宋体" w:hAnsi="宋体" w:cs="宋体"/>
          <w:color w:val="000000"/>
          <w:kern w:val="0"/>
          <w:sz w:val="28"/>
          <w:szCs w:val="28"/>
          <w:lang w:val="en-US" w:eastAsia="zh-CN"/>
        </w:rPr>
        <w:t>双</w:t>
      </w:r>
      <w:r>
        <w:rPr>
          <w:rFonts w:hint="eastAsia" w:ascii="宋体" w:hAnsi="宋体" w:eastAsia="宋体" w:cs="宋体"/>
          <w:color w:val="000000"/>
          <w:kern w:val="0"/>
          <w:sz w:val="28"/>
          <w:szCs w:val="28"/>
        </w:rPr>
        <w:t>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8"/>
        <w:tblW w:w="9286" w:type="dxa"/>
        <w:jc w:val="center"/>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rPr>
          <w:jc w:val="center"/>
        </w:trPr>
        <w:tc>
          <w:tcPr>
            <w:tcW w:w="4711" w:type="dxa"/>
            <w:tcBorders>
              <w:top w:val="nil"/>
              <w:left w:val="nil"/>
              <w:bottom w:val="nil"/>
              <w:right w:val="nil"/>
            </w:tcBorders>
            <w:vAlign w:val="top"/>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甲方名称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:韩城</w:t>
            </w:r>
            <w:r>
              <w:rPr>
                <w:rFonts w:hint="eastAsia" w:ascii="宋体" w:hAnsi="宋体" w:eastAsia="宋体" w:cs="宋体"/>
                <w:color w:val="000000"/>
                <w:kern w:val="0"/>
                <w:sz w:val="28"/>
                <w:szCs w:val="28"/>
                <w:u w:val="single"/>
                <w:lang w:val="en-US" w:eastAsia="zh-CN"/>
              </w:rPr>
              <w:t>市</w:t>
            </w:r>
            <w:r>
              <w:rPr>
                <w:rFonts w:hint="eastAsia" w:ascii="宋体" w:hAnsi="宋体" w:eastAsia="宋体" w:cs="宋体"/>
                <w:color w:val="000000"/>
                <w:kern w:val="0"/>
                <w:sz w:val="28"/>
                <w:szCs w:val="28"/>
                <w:u w:val="single"/>
              </w:rPr>
              <w:t>教育局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帐号：</w:t>
            </w:r>
          </w:p>
        </w:tc>
        <w:tc>
          <w:tcPr>
            <w:tcW w:w="4575" w:type="dxa"/>
            <w:tcBorders>
              <w:top w:val="nil"/>
              <w:left w:val="nil"/>
              <w:bottom w:val="nil"/>
              <w:right w:val="nil"/>
            </w:tcBorders>
            <w:vAlign w:val="top"/>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lang w:val="en-US"/>
              </w:rPr>
            </w:pPr>
            <w:r>
              <w:rPr>
                <w:rFonts w:hint="eastAsia" w:ascii="宋体" w:hAnsi="宋体" w:eastAsia="宋体" w:cs="宋体"/>
                <w:color w:val="000000"/>
                <w:kern w:val="0"/>
                <w:sz w:val="28"/>
                <w:szCs w:val="28"/>
                <w:u w:val="single"/>
              </w:rPr>
              <w:t>乙方名称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w:t>
            </w:r>
            <w:r>
              <w:rPr>
                <w:rFonts w:hint="eastAsia" w:ascii="宋体" w:hAnsi="宋体" w:eastAsia="宋体" w:cs="宋体"/>
                <w:color w:val="000000"/>
                <w:sz w:val="28"/>
                <w:szCs w:val="28"/>
                <w:u w:val="single"/>
              </w:rPr>
              <w:t xml:space="preserve"> </w:t>
            </w:r>
            <w:r>
              <w:rPr>
                <w:rFonts w:hint="eastAsia" w:ascii="宋体" w:hAnsi="宋体" w:eastAsia="宋体" w:cs="宋体"/>
                <w:b/>
                <w:bCs/>
                <w:sz w:val="28"/>
                <w:szCs w:val="28"/>
                <w:u w:val="singl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single"/>
                <w:lang w:eastAsia="zh-CN"/>
              </w:rPr>
            </w:pPr>
            <w:r>
              <w:rPr>
                <w:rFonts w:hint="eastAsia" w:ascii="宋体" w:hAnsi="宋体" w:eastAsia="宋体" w:cs="宋体"/>
                <w:color w:val="000000"/>
                <w:kern w:val="0"/>
                <w:sz w:val="28"/>
                <w:szCs w:val="28"/>
                <w:u w:val="single"/>
              </w:rPr>
              <w:t>地址：</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lang w:val="en-US" w:eastAsia="zh-CN"/>
              </w:rPr>
            </w:pPr>
            <w:r>
              <w:rPr>
                <w:rFonts w:hint="eastAsia" w:ascii="宋体" w:hAnsi="宋体" w:eastAsia="宋体" w:cs="宋体"/>
                <w:color w:val="000000"/>
                <w:kern w:val="0"/>
                <w:sz w:val="28"/>
                <w:szCs w:val="28"/>
                <w:u w:val="single"/>
              </w:rPr>
              <w:t xml:space="preserve">电话： </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single"/>
                <w:lang w:val="en-US" w:eastAsia="zh-CN"/>
              </w:rPr>
            </w:pPr>
            <w:r>
              <w:rPr>
                <w:rFonts w:hint="eastAsia" w:ascii="宋体" w:hAnsi="宋体" w:eastAsia="宋体" w:cs="宋体"/>
                <w:color w:val="000000"/>
                <w:kern w:val="0"/>
                <w:sz w:val="28"/>
                <w:szCs w:val="28"/>
                <w:u w:val="single"/>
              </w:rPr>
              <w:t>帐号：</w:t>
            </w:r>
            <w:r>
              <w:rPr>
                <w:rFonts w:hint="eastAsia" w:ascii="宋体" w:hAnsi="宋体" w:eastAsia="宋体" w:cs="宋体"/>
                <w:sz w:val="28"/>
                <w:szCs w:val="28"/>
                <w:u w:val="single"/>
                <w:lang w:val="en-US" w:eastAsia="zh-CN"/>
              </w:rPr>
              <w:t xml:space="preserve"> </w:t>
            </w:r>
          </w:p>
        </w:tc>
      </w:tr>
    </w:tbl>
    <w:p w14:paraId="4FAA63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25ED3140"/>
    <w:multiLevelType w:val="singleLevel"/>
    <w:tmpl w:val="25ED3140"/>
    <w:lvl w:ilvl="0" w:tentative="0">
      <w:start w:val="9"/>
      <w:numFmt w:val="chineseCounting"/>
      <w:suff w:val="nothing"/>
      <w:lvlText w:val="%1、"/>
      <w:lvlJc w:val="left"/>
      <w:rPr>
        <w:rFonts w:hint="eastAsia"/>
      </w:rPr>
    </w:lvl>
  </w:abstractNum>
  <w:abstractNum w:abstractNumId="2">
    <w:nsid w:val="5883307F"/>
    <w:multiLevelType w:val="singleLevel"/>
    <w:tmpl w:val="58833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147A7"/>
    <w:rsid w:val="192B285C"/>
    <w:rsid w:val="1CBD494F"/>
    <w:rsid w:val="2A8E0D1A"/>
    <w:rsid w:val="322C5033"/>
    <w:rsid w:val="433D1D05"/>
    <w:rsid w:val="4FF44C98"/>
    <w:rsid w:val="5B612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99"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5">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eastAsia="宋体" w:cs="Calibri"/>
      <w:b/>
      <w:bCs/>
      <w:kern w:val="44"/>
      <w:sz w:val="32"/>
      <w:szCs w:val="44"/>
      <w:lang w:eastAsia="en-US"/>
    </w:rPr>
  </w:style>
  <w:style w:type="paragraph" w:styleId="6">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2"/>
    <w:qFormat/>
    <w:uiPriority w:val="99"/>
    <w:pPr>
      <w:spacing w:after="120"/>
    </w:pPr>
  </w:style>
  <w:style w:type="paragraph" w:styleId="4">
    <w:name w:val="toc 6"/>
    <w:basedOn w:val="1"/>
    <w:next w:val="1"/>
    <w:semiHidden/>
    <w:qFormat/>
    <w:uiPriority w:val="99"/>
    <w:pPr>
      <w:widowControl w:val="0"/>
      <w:adjustRightInd/>
      <w:snapToGrid/>
      <w:spacing w:after="0"/>
      <w:ind w:left="2100" w:leftChars="1000"/>
      <w:jc w:val="both"/>
    </w:pPr>
    <w:rPr>
      <w:rFonts w:ascii="Calibri" w:hAnsi="Calibri" w:cs="Calibri"/>
      <w:kern w:val="2"/>
      <w:sz w:val="21"/>
      <w:szCs w:val="21"/>
    </w:rPr>
  </w:style>
  <w:style w:type="paragraph" w:styleId="7">
    <w:name w:val="footer"/>
    <w:basedOn w:val="1"/>
    <w:qFormat/>
    <w:uiPriority w:val="99"/>
    <w:pPr>
      <w:tabs>
        <w:tab w:val="center" w:pos="4153"/>
        <w:tab w:val="right" w:pos="8306"/>
      </w:tabs>
    </w:pPr>
    <w:rPr>
      <w:sz w:val="18"/>
      <w:szCs w:val="18"/>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2948</Words>
  <Characters>3016</Characters>
  <Lines>0</Lines>
  <Paragraphs>0</Paragraphs>
  <TotalTime>1</TotalTime>
  <ScaleCrop>false</ScaleCrop>
  <LinksUpToDate>false</LinksUpToDate>
  <CharactersWithSpaces>3108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2026-01-06T08:36:00Z</dcterms:created>
  <dc:creator>X</dc:creator>
  <cp:lastModifiedBy>Mr.Xu</cp:lastModifiedBy>
  <dcterms:modified xsi:type="dcterms:W3CDTF">2026-01-06T10:53:13Z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0BA50B381ED14F748C46F1A85D15C142_12</vt:lpwstr>
  </property>
</Properties>
</file>