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9AD82">
      <w:pPr>
        <w:spacing w:line="900" w:lineRule="auto"/>
        <w:jc w:val="center"/>
        <w:rPr>
          <w:rFonts w:hint="eastAsia" w:ascii="宋体" w:hAnsi="宋体" w:eastAsia="宋体" w:cs="宋体"/>
          <w:b/>
          <w:bCs/>
          <w:color w:val="auto"/>
          <w:sz w:val="32"/>
          <w:szCs w:val="32"/>
          <w:lang w:eastAsia="zh-CN"/>
        </w:rPr>
      </w:pPr>
      <w:bookmarkStart w:id="0" w:name="_GoBack"/>
      <w:bookmarkEnd w:id="0"/>
      <w:r>
        <w:rPr>
          <w:rFonts w:hint="eastAsia" w:ascii="宋体" w:hAnsi="宋体" w:eastAsia="宋体" w:cs="宋体"/>
          <w:b/>
          <w:bCs/>
          <w:color w:val="auto"/>
          <w:sz w:val="32"/>
          <w:szCs w:val="32"/>
          <w:lang w:eastAsia="zh-CN"/>
        </w:rPr>
        <w:t>韩城市人民法院物业服务项目</w:t>
      </w:r>
    </w:p>
    <w:p w14:paraId="38ED168E">
      <w:pPr>
        <w:spacing w:line="900" w:lineRule="auto"/>
        <w:jc w:val="center"/>
        <w:rPr>
          <w:rFonts w:hint="eastAsia" w:ascii="宋体" w:hAnsi="宋体" w:eastAsia="宋体" w:cs="宋体"/>
          <w:b/>
          <w:bCs/>
          <w:color w:val="auto"/>
          <w:sz w:val="32"/>
          <w:szCs w:val="32"/>
          <w:lang w:eastAsia="zh-CN"/>
        </w:rPr>
      </w:pPr>
    </w:p>
    <w:p w14:paraId="146D5035">
      <w:pPr>
        <w:spacing w:line="900" w:lineRule="auto"/>
        <w:jc w:val="center"/>
        <w:rPr>
          <w:rFonts w:hint="eastAsia" w:ascii="宋体" w:hAnsi="宋体" w:eastAsia="宋体" w:cs="宋体"/>
          <w:color w:val="auto"/>
          <w:sz w:val="20"/>
          <w:szCs w:val="21"/>
        </w:rPr>
      </w:pPr>
      <w:r>
        <w:rPr>
          <w:rFonts w:hint="eastAsia" w:ascii="宋体" w:hAnsi="宋体" w:eastAsia="宋体" w:cs="宋体"/>
          <w:b/>
          <w:color w:val="auto"/>
          <w:sz w:val="40"/>
          <w:szCs w:val="44"/>
        </w:rPr>
        <w:t>合同书</w:t>
      </w:r>
      <w:r>
        <w:rPr>
          <w:rFonts w:hint="eastAsia" w:ascii="宋体" w:hAnsi="宋体" w:eastAsia="宋体" w:cs="宋体"/>
          <w:color w:val="auto"/>
          <w:sz w:val="20"/>
          <w:szCs w:val="21"/>
        </w:rPr>
        <w:t xml:space="preserve">        </w:t>
      </w:r>
    </w:p>
    <w:p w14:paraId="32D3DB12">
      <w:pPr>
        <w:spacing w:line="380" w:lineRule="exact"/>
        <w:rPr>
          <w:rFonts w:hint="eastAsia" w:ascii="宋体" w:hAnsi="宋体" w:eastAsia="宋体" w:cs="宋体"/>
          <w:color w:val="auto"/>
          <w:sz w:val="20"/>
          <w:szCs w:val="21"/>
        </w:rPr>
      </w:pPr>
    </w:p>
    <w:p w14:paraId="62F1145F">
      <w:pPr>
        <w:spacing w:line="380" w:lineRule="exact"/>
        <w:rPr>
          <w:rFonts w:hint="eastAsia" w:ascii="宋体" w:hAnsi="宋体" w:eastAsia="宋体" w:cs="宋体"/>
          <w:color w:val="auto"/>
          <w:sz w:val="20"/>
          <w:szCs w:val="21"/>
        </w:rPr>
      </w:pPr>
    </w:p>
    <w:p w14:paraId="7F4E6C27">
      <w:pPr>
        <w:spacing w:line="380" w:lineRule="exact"/>
        <w:rPr>
          <w:rFonts w:hint="eastAsia" w:ascii="宋体" w:hAnsi="宋体" w:eastAsia="宋体" w:cs="宋体"/>
          <w:color w:val="auto"/>
          <w:sz w:val="20"/>
        </w:rPr>
      </w:pPr>
      <w:r>
        <w:rPr>
          <w:rFonts w:hint="eastAsia" w:ascii="宋体" w:hAnsi="宋体" w:eastAsia="宋体" w:cs="宋体"/>
          <w:color w:val="auto"/>
          <w:sz w:val="20"/>
          <w:szCs w:val="21"/>
        </w:rPr>
        <w:t xml:space="preserve">                     </w:t>
      </w:r>
    </w:p>
    <w:p w14:paraId="03AE7E6A">
      <w:pPr>
        <w:spacing w:line="380" w:lineRule="exact"/>
        <w:ind w:firstLine="1772" w:firstLineChars="633"/>
        <w:rPr>
          <w:rFonts w:hint="eastAsia" w:ascii="宋体" w:hAnsi="宋体" w:eastAsia="宋体" w:cs="宋体"/>
          <w:color w:val="auto"/>
          <w:sz w:val="28"/>
          <w:szCs w:val="30"/>
        </w:rPr>
      </w:pPr>
      <w:r>
        <w:rPr>
          <w:rFonts w:hint="eastAsia" w:ascii="宋体" w:hAnsi="宋体" w:eastAsia="宋体" w:cs="宋体"/>
          <w:color w:val="auto"/>
          <w:sz w:val="28"/>
          <w:szCs w:val="30"/>
        </w:rPr>
        <w:t xml:space="preserve"> </w:t>
      </w:r>
    </w:p>
    <w:p w14:paraId="481DFC9C">
      <w:pPr>
        <w:spacing w:line="360" w:lineRule="auto"/>
        <w:ind w:firstLine="1772" w:firstLineChars="633"/>
        <w:rPr>
          <w:rFonts w:hint="eastAsia" w:ascii="宋体" w:hAnsi="宋体" w:eastAsia="宋体" w:cs="宋体"/>
          <w:color w:val="auto"/>
          <w:sz w:val="28"/>
          <w:szCs w:val="30"/>
          <w:u w:val="single"/>
        </w:rPr>
      </w:pPr>
      <w:r>
        <w:rPr>
          <w:rFonts w:hint="eastAsia" w:ascii="宋体" w:hAnsi="宋体" w:eastAsia="宋体" w:cs="宋体"/>
          <w:color w:val="auto"/>
          <w:sz w:val="28"/>
          <w:szCs w:val="30"/>
        </w:rPr>
        <w:t>甲方：</w:t>
      </w:r>
      <w:r>
        <w:rPr>
          <w:rFonts w:hint="eastAsia" w:ascii="宋体" w:hAnsi="宋体" w:eastAsia="宋体" w:cs="宋体"/>
          <w:color w:val="auto"/>
          <w:sz w:val="28"/>
          <w:szCs w:val="30"/>
          <w:u w:val="single"/>
        </w:rPr>
        <w:t xml:space="preserve">                           </w:t>
      </w:r>
    </w:p>
    <w:p w14:paraId="28735C18">
      <w:pPr>
        <w:spacing w:line="360" w:lineRule="auto"/>
        <w:ind w:firstLine="1772" w:firstLineChars="633"/>
        <w:rPr>
          <w:rFonts w:hint="eastAsia" w:ascii="宋体" w:hAnsi="宋体" w:eastAsia="宋体" w:cs="宋体"/>
          <w:color w:val="auto"/>
          <w:sz w:val="28"/>
          <w:szCs w:val="30"/>
          <w:u w:val="single"/>
        </w:rPr>
      </w:pPr>
      <w:r>
        <w:rPr>
          <w:rFonts w:hint="eastAsia" w:ascii="宋体" w:hAnsi="宋体" w:eastAsia="宋体" w:cs="宋体"/>
          <w:color w:val="auto"/>
          <w:sz w:val="28"/>
          <w:szCs w:val="30"/>
        </w:rPr>
        <w:t>地址：</w:t>
      </w:r>
      <w:r>
        <w:rPr>
          <w:rFonts w:hint="eastAsia" w:ascii="宋体" w:hAnsi="宋体" w:eastAsia="宋体" w:cs="宋体"/>
          <w:color w:val="auto"/>
          <w:sz w:val="28"/>
          <w:szCs w:val="30"/>
          <w:u w:val="single"/>
        </w:rPr>
        <w:t xml:space="preserve">                           </w:t>
      </w:r>
    </w:p>
    <w:p w14:paraId="3A403C70">
      <w:pPr>
        <w:spacing w:line="360" w:lineRule="auto"/>
        <w:ind w:firstLine="1772" w:firstLineChars="633"/>
        <w:rPr>
          <w:rFonts w:hint="eastAsia" w:ascii="宋体" w:hAnsi="宋体" w:eastAsia="宋体" w:cs="宋体"/>
          <w:color w:val="auto"/>
          <w:sz w:val="28"/>
          <w:szCs w:val="30"/>
        </w:rPr>
      </w:pPr>
      <w:r>
        <w:rPr>
          <w:rFonts w:hint="eastAsia" w:ascii="宋体" w:hAnsi="宋体" w:eastAsia="宋体" w:cs="宋体"/>
          <w:color w:val="auto"/>
          <w:sz w:val="28"/>
          <w:szCs w:val="30"/>
        </w:rPr>
        <w:t>电话：</w:t>
      </w:r>
      <w:r>
        <w:rPr>
          <w:rFonts w:hint="eastAsia" w:ascii="宋体" w:hAnsi="宋体" w:eastAsia="宋体" w:cs="宋体"/>
          <w:color w:val="auto"/>
          <w:sz w:val="28"/>
          <w:szCs w:val="30"/>
          <w:u w:val="single"/>
        </w:rPr>
        <w:t xml:space="preserve">                           </w:t>
      </w:r>
      <w:r>
        <w:rPr>
          <w:rFonts w:hint="eastAsia" w:ascii="宋体" w:hAnsi="宋体" w:eastAsia="宋体" w:cs="宋体"/>
          <w:color w:val="auto"/>
          <w:sz w:val="28"/>
          <w:szCs w:val="30"/>
        </w:rPr>
        <w:t xml:space="preserve">  </w:t>
      </w:r>
    </w:p>
    <w:p w14:paraId="5A2DA509">
      <w:pPr>
        <w:spacing w:line="360" w:lineRule="auto"/>
        <w:ind w:firstLine="1772" w:firstLineChars="633"/>
        <w:rPr>
          <w:rFonts w:hint="eastAsia" w:ascii="宋体" w:hAnsi="宋体" w:eastAsia="宋体" w:cs="宋体"/>
          <w:color w:val="auto"/>
          <w:sz w:val="28"/>
          <w:szCs w:val="30"/>
        </w:rPr>
      </w:pPr>
    </w:p>
    <w:p w14:paraId="01D85FF7">
      <w:pPr>
        <w:spacing w:line="360" w:lineRule="auto"/>
        <w:ind w:firstLine="1772" w:firstLineChars="633"/>
        <w:rPr>
          <w:rFonts w:hint="eastAsia" w:ascii="宋体" w:hAnsi="宋体" w:eastAsia="宋体" w:cs="宋体"/>
          <w:color w:val="auto"/>
          <w:sz w:val="28"/>
          <w:szCs w:val="30"/>
          <w:u w:val="single"/>
        </w:rPr>
      </w:pPr>
      <w:r>
        <w:rPr>
          <w:rFonts w:hint="eastAsia" w:ascii="宋体" w:hAnsi="宋体" w:eastAsia="宋体" w:cs="宋体"/>
          <w:color w:val="auto"/>
          <w:sz w:val="28"/>
          <w:szCs w:val="30"/>
        </w:rPr>
        <w:t>乙方：</w:t>
      </w:r>
      <w:r>
        <w:rPr>
          <w:rFonts w:hint="eastAsia" w:ascii="宋体" w:hAnsi="宋体" w:eastAsia="宋体" w:cs="宋体"/>
          <w:color w:val="auto"/>
          <w:sz w:val="28"/>
          <w:szCs w:val="30"/>
          <w:u w:val="single"/>
        </w:rPr>
        <w:t xml:space="preserve">                           </w:t>
      </w:r>
    </w:p>
    <w:p w14:paraId="1473EF37">
      <w:pPr>
        <w:spacing w:line="360" w:lineRule="auto"/>
        <w:ind w:firstLine="1772" w:firstLineChars="633"/>
        <w:rPr>
          <w:rFonts w:hint="eastAsia" w:ascii="宋体" w:hAnsi="宋体" w:eastAsia="宋体" w:cs="宋体"/>
          <w:color w:val="auto"/>
          <w:sz w:val="28"/>
          <w:szCs w:val="30"/>
        </w:rPr>
      </w:pPr>
      <w:r>
        <w:rPr>
          <w:rFonts w:hint="eastAsia" w:ascii="宋体" w:hAnsi="宋体" w:eastAsia="宋体" w:cs="宋体"/>
          <w:color w:val="auto"/>
          <w:sz w:val="28"/>
          <w:szCs w:val="30"/>
        </w:rPr>
        <w:t>地址：</w:t>
      </w:r>
      <w:r>
        <w:rPr>
          <w:rFonts w:hint="eastAsia" w:ascii="宋体" w:hAnsi="宋体" w:eastAsia="宋体" w:cs="宋体"/>
          <w:color w:val="auto"/>
          <w:sz w:val="28"/>
          <w:szCs w:val="30"/>
          <w:u w:val="single"/>
        </w:rPr>
        <w:t xml:space="preserve">                           </w:t>
      </w:r>
      <w:r>
        <w:rPr>
          <w:rFonts w:hint="eastAsia" w:ascii="宋体" w:hAnsi="宋体" w:eastAsia="宋体" w:cs="宋体"/>
          <w:color w:val="auto"/>
          <w:sz w:val="28"/>
          <w:szCs w:val="30"/>
        </w:rPr>
        <w:t xml:space="preserve">     </w:t>
      </w:r>
    </w:p>
    <w:p w14:paraId="0DE0A1D7">
      <w:pPr>
        <w:tabs>
          <w:tab w:val="right" w:pos="4860"/>
        </w:tabs>
        <w:adjustRightInd w:val="0"/>
        <w:snapToGrid w:val="0"/>
        <w:spacing w:line="324" w:lineRule="auto"/>
        <w:ind w:firstLine="1850" w:firstLineChars="661"/>
        <w:rPr>
          <w:rFonts w:hint="eastAsia" w:ascii="宋体" w:hAnsi="宋体" w:eastAsia="宋体" w:cs="宋体"/>
          <w:color w:val="auto"/>
          <w:sz w:val="22"/>
          <w:szCs w:val="24"/>
        </w:rPr>
      </w:pPr>
      <w:r>
        <w:rPr>
          <w:rFonts w:hint="eastAsia" w:ascii="宋体" w:hAnsi="宋体" w:eastAsia="宋体" w:cs="宋体"/>
          <w:color w:val="auto"/>
          <w:sz w:val="28"/>
          <w:szCs w:val="30"/>
        </w:rPr>
        <w:t>电话：</w:t>
      </w:r>
      <w:r>
        <w:rPr>
          <w:rFonts w:hint="eastAsia" w:ascii="宋体" w:hAnsi="宋体" w:eastAsia="宋体" w:cs="宋体"/>
          <w:color w:val="auto"/>
          <w:sz w:val="28"/>
          <w:szCs w:val="30"/>
          <w:u w:val="single"/>
        </w:rPr>
        <w:t xml:space="preserve">                           </w:t>
      </w:r>
      <w:r>
        <w:rPr>
          <w:rFonts w:hint="eastAsia" w:ascii="宋体" w:hAnsi="宋体" w:eastAsia="宋体" w:cs="宋体"/>
          <w:color w:val="auto"/>
          <w:sz w:val="28"/>
          <w:szCs w:val="30"/>
        </w:rPr>
        <w:t xml:space="preserve"> </w:t>
      </w:r>
      <w:r>
        <w:rPr>
          <w:rFonts w:hint="eastAsia" w:ascii="宋体" w:hAnsi="宋体" w:eastAsia="宋体" w:cs="宋体"/>
          <w:color w:val="auto"/>
          <w:sz w:val="22"/>
          <w:szCs w:val="24"/>
        </w:rPr>
        <w:t xml:space="preserve"> </w:t>
      </w:r>
    </w:p>
    <w:p w14:paraId="525C26B4">
      <w:pPr>
        <w:tabs>
          <w:tab w:val="right" w:pos="4860"/>
        </w:tabs>
        <w:adjustRightInd w:val="0"/>
        <w:snapToGrid w:val="0"/>
        <w:spacing w:line="324" w:lineRule="auto"/>
        <w:ind w:firstLine="1454" w:firstLineChars="661"/>
        <w:rPr>
          <w:rFonts w:hint="eastAsia" w:ascii="宋体" w:hAnsi="宋体" w:eastAsia="宋体" w:cs="宋体"/>
          <w:color w:val="auto"/>
          <w:sz w:val="22"/>
          <w:szCs w:val="24"/>
        </w:rPr>
      </w:pPr>
    </w:p>
    <w:p w14:paraId="7F226046">
      <w:pPr>
        <w:tabs>
          <w:tab w:val="right" w:pos="4860"/>
        </w:tabs>
        <w:adjustRightInd w:val="0"/>
        <w:snapToGrid w:val="0"/>
        <w:spacing w:line="324" w:lineRule="auto"/>
        <w:ind w:firstLine="1454" w:firstLineChars="661"/>
        <w:rPr>
          <w:rFonts w:hint="eastAsia" w:ascii="宋体" w:hAnsi="宋体" w:eastAsia="宋体" w:cs="宋体"/>
          <w:color w:val="auto"/>
          <w:sz w:val="22"/>
          <w:szCs w:val="24"/>
        </w:rPr>
      </w:pPr>
    </w:p>
    <w:p w14:paraId="2F296539">
      <w:pPr>
        <w:pStyle w:val="20"/>
        <w:rPr>
          <w:rFonts w:hint="eastAsia" w:ascii="宋体" w:hAnsi="宋体" w:eastAsia="宋体" w:cs="宋体"/>
          <w:color w:val="auto"/>
        </w:rPr>
      </w:pPr>
    </w:p>
    <w:p w14:paraId="437241C3">
      <w:pPr>
        <w:pStyle w:val="12"/>
        <w:rPr>
          <w:rFonts w:hint="eastAsia" w:ascii="宋体" w:hAnsi="宋体" w:eastAsia="宋体" w:cs="宋体"/>
          <w:color w:val="auto"/>
          <w:sz w:val="20"/>
        </w:rPr>
      </w:pPr>
    </w:p>
    <w:p w14:paraId="510EEB4C">
      <w:pPr>
        <w:spacing w:line="360" w:lineRule="auto"/>
        <w:ind w:firstLine="602" w:firstLineChars="300"/>
        <w:rPr>
          <w:rFonts w:hint="eastAsia" w:ascii="宋体" w:hAnsi="宋体" w:eastAsia="宋体" w:cs="宋体"/>
          <w:b/>
          <w:color w:val="auto"/>
          <w:sz w:val="20"/>
          <w:szCs w:val="21"/>
        </w:rPr>
      </w:pPr>
      <w:r>
        <w:rPr>
          <w:rFonts w:hint="eastAsia" w:ascii="宋体" w:hAnsi="宋体" w:eastAsia="宋体" w:cs="宋体"/>
          <w:b/>
          <w:color w:val="auto"/>
          <w:sz w:val="20"/>
          <w:szCs w:val="21"/>
        </w:rPr>
        <w:t>注：本合同仅为合同的参考文本，合同签订双方可根据项目的具体要求进行修订。</w:t>
      </w:r>
    </w:p>
    <w:p w14:paraId="3B893764">
      <w:pPr>
        <w:spacing w:line="360" w:lineRule="auto"/>
        <w:rPr>
          <w:rFonts w:hint="eastAsia" w:ascii="宋体" w:hAnsi="宋体" w:eastAsia="宋体" w:cs="宋体"/>
          <w:color w:val="auto"/>
          <w:sz w:val="22"/>
          <w:szCs w:val="24"/>
        </w:rPr>
      </w:pPr>
    </w:p>
    <w:p w14:paraId="261BED5E">
      <w:pPr>
        <w:pStyle w:val="11"/>
        <w:rPr>
          <w:rFonts w:hint="eastAsia" w:ascii="宋体" w:hAnsi="宋体" w:eastAsia="宋体" w:cs="宋体"/>
        </w:rPr>
      </w:pPr>
    </w:p>
    <w:p w14:paraId="12F458F7">
      <w:pPr>
        <w:rPr>
          <w:rFonts w:hint="eastAsia" w:ascii="宋体" w:hAnsi="宋体" w:eastAsia="宋体" w:cs="宋体"/>
        </w:rPr>
      </w:pPr>
    </w:p>
    <w:p w14:paraId="27683992">
      <w:pPr>
        <w:pStyle w:val="12"/>
        <w:rPr>
          <w:rFonts w:hint="eastAsia" w:ascii="宋体" w:hAnsi="宋体" w:eastAsia="宋体" w:cs="宋体"/>
          <w:color w:val="auto"/>
          <w:sz w:val="20"/>
        </w:rPr>
      </w:pPr>
    </w:p>
    <w:p w14:paraId="259E9307">
      <w:pPr>
        <w:rPr>
          <w:rFonts w:hint="eastAsia" w:ascii="宋体" w:hAnsi="宋体" w:eastAsia="宋体" w:cs="宋体"/>
          <w:color w:val="auto"/>
          <w:sz w:val="20"/>
        </w:rPr>
      </w:pPr>
    </w:p>
    <w:p w14:paraId="0F6429BD">
      <w:pPr>
        <w:rPr>
          <w:rFonts w:hint="eastAsia" w:ascii="宋体" w:hAnsi="宋体" w:eastAsia="宋体" w:cs="宋体"/>
          <w:color w:val="auto"/>
          <w:sz w:val="20"/>
        </w:rPr>
      </w:pPr>
    </w:p>
    <w:p w14:paraId="79B14A2B">
      <w:pPr>
        <w:rPr>
          <w:rFonts w:hint="eastAsia" w:ascii="宋体" w:hAnsi="宋体" w:eastAsia="宋体" w:cs="宋体"/>
          <w:color w:val="auto"/>
        </w:rPr>
      </w:pPr>
    </w:p>
    <w:p w14:paraId="7D9C5570">
      <w:pPr>
        <w:kinsoku/>
        <w:wordWrap/>
        <w:overflowPunct/>
        <w:autoSpaceDE/>
        <w:autoSpaceDN/>
        <w:bidi w:val="0"/>
        <w:snapToGrid w:val="0"/>
        <w:spacing w:line="560" w:lineRule="exact"/>
        <w:jc w:val="center"/>
        <w:textAlignment w:val="auto"/>
        <w:rPr>
          <w:rStyle w:val="21"/>
          <w:rFonts w:hint="eastAsia" w:ascii="宋体" w:hAnsi="宋体" w:eastAsia="宋体" w:cs="宋体"/>
          <w:b w:val="0"/>
          <w:bCs w:val="0"/>
          <w:kern w:val="2"/>
          <w:sz w:val="44"/>
          <w:szCs w:val="44"/>
          <w:lang w:val="en-US" w:eastAsia="zh-CN" w:bidi="ar-SA"/>
        </w:rPr>
      </w:pPr>
      <w:r>
        <w:rPr>
          <w:rStyle w:val="21"/>
          <w:rFonts w:hint="eastAsia" w:ascii="宋体" w:hAnsi="宋体" w:eastAsia="宋体" w:cs="宋体"/>
          <w:b w:val="0"/>
          <w:bCs w:val="0"/>
          <w:kern w:val="2"/>
          <w:sz w:val="44"/>
          <w:szCs w:val="44"/>
          <w:lang w:val="en-US" w:eastAsia="zh-CN" w:bidi="ar-SA"/>
        </w:rPr>
        <w:t>物业委托管理合同</w:t>
      </w:r>
    </w:p>
    <w:p w14:paraId="0255391F">
      <w:p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甲方：</w:t>
      </w:r>
    </w:p>
    <w:p w14:paraId="3F012702">
      <w:p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乙方：</w:t>
      </w:r>
    </w:p>
    <w:p w14:paraId="5D549D1F">
      <w:p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24"/>
          <w:szCs w:val="24"/>
          <w:lang w:val="en-US" w:eastAsia="zh-CN" w:bidi="ar-SA"/>
        </w:rPr>
      </w:pPr>
    </w:p>
    <w:p w14:paraId="71EDF968">
      <w:pPr>
        <w:numPr>
          <w:ilvl w:val="0"/>
          <w:numId w:val="3"/>
        </w:numPr>
        <w:kinsoku/>
        <w:wordWrap/>
        <w:overflowPunct/>
        <w:autoSpaceDE/>
        <w:autoSpaceDN/>
        <w:bidi w:val="0"/>
        <w:snapToGrid w:val="0"/>
        <w:spacing w:line="360" w:lineRule="auto"/>
        <w:jc w:val="center"/>
        <w:textAlignment w:val="auto"/>
        <w:rPr>
          <w:rStyle w:val="21"/>
          <w:rFonts w:hint="eastAsia" w:ascii="宋体" w:hAnsi="宋体" w:eastAsia="宋体" w:cs="宋体"/>
          <w:color w:val="000000"/>
          <w:kern w:val="2"/>
          <w:sz w:val="32"/>
          <w:szCs w:val="32"/>
          <w:lang w:val="en-US" w:eastAsia="zh-CN" w:bidi="ar-SA"/>
        </w:rPr>
      </w:pPr>
      <w:r>
        <w:rPr>
          <w:rStyle w:val="21"/>
          <w:rFonts w:hint="eastAsia" w:ascii="宋体" w:hAnsi="宋体" w:eastAsia="宋体" w:cs="宋体"/>
          <w:color w:val="000000"/>
          <w:kern w:val="2"/>
          <w:sz w:val="32"/>
          <w:szCs w:val="32"/>
          <w:lang w:val="en-US" w:eastAsia="zh-CN" w:bidi="ar-SA"/>
        </w:rPr>
        <w:t xml:space="preserve"> 总  则</w:t>
      </w:r>
    </w:p>
    <w:p w14:paraId="71E11D53">
      <w:pPr>
        <w:numPr>
          <w:ilvl w:val="0"/>
          <w:numId w:val="0"/>
        </w:num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32"/>
          <w:szCs w:val="32"/>
          <w:lang w:val="en-US" w:eastAsia="zh-CN" w:bidi="ar-SA"/>
        </w:rPr>
      </w:pPr>
    </w:p>
    <w:p w14:paraId="54CC4878">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根据相关法律、法规，韩城市人民法院(以下简称甲方)同</w:t>
      </w:r>
      <w:r>
        <w:rPr>
          <w:rStyle w:val="21"/>
          <w:rFonts w:hint="eastAsia" w:ascii="宋体" w:hAnsi="宋体" w:cs="宋体"/>
          <w:color w:val="000000"/>
          <w:kern w:val="2"/>
          <w:sz w:val="24"/>
          <w:szCs w:val="24"/>
          <w:lang w:val="en-US" w:eastAsia="zh-CN" w:bidi="ar-SA"/>
        </w:rPr>
        <w:t xml:space="preserve">      </w:t>
      </w:r>
      <w:r>
        <w:rPr>
          <w:rStyle w:val="21"/>
          <w:rFonts w:hint="eastAsia" w:ascii="宋体" w:hAnsi="宋体" w:eastAsia="宋体" w:cs="宋体"/>
          <w:color w:val="000000"/>
          <w:kern w:val="2"/>
          <w:sz w:val="24"/>
          <w:szCs w:val="24"/>
          <w:lang w:val="en-US" w:eastAsia="zh-CN" w:bidi="ar-SA"/>
        </w:rPr>
        <w:t>（以下简称乙方）签订《物业委托管理合同》，双方在自愿、平等、协商一致的基础上，同意就人民法院办公大院委托乙方实行物业管理，订立本合同，以兹共同信守。</w:t>
      </w:r>
    </w:p>
    <w:p w14:paraId="77CA56B1">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b w:val="0"/>
          <w:bCs w:val="0"/>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第一条 项目概况</w:t>
      </w:r>
    </w:p>
    <w:p w14:paraId="46DBBDAA">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法院大院：办公楼一栋。</w:t>
      </w:r>
    </w:p>
    <w:p w14:paraId="67F91CCC">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物业服务面积：总建筑面积11700平方米。</w:t>
      </w:r>
    </w:p>
    <w:p w14:paraId="4F4D5856">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b w:val="0"/>
          <w:bCs w:val="0"/>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第二条 物业管理服务内容</w:t>
      </w:r>
    </w:p>
    <w:p w14:paraId="2624C5BE">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工程设施设备维护、节能管控、环境保洁、绿化养护、秩序维护、安全等。</w:t>
      </w:r>
    </w:p>
    <w:p w14:paraId="40CB1EFF">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第三条</w:t>
      </w:r>
      <w:r>
        <w:rPr>
          <w:rStyle w:val="21"/>
          <w:rFonts w:hint="eastAsia" w:ascii="宋体" w:hAnsi="宋体" w:eastAsia="宋体" w:cs="宋体"/>
          <w:b/>
          <w:bCs/>
          <w:color w:val="000000"/>
          <w:kern w:val="2"/>
          <w:sz w:val="24"/>
          <w:szCs w:val="24"/>
          <w:lang w:val="en-US" w:eastAsia="zh-CN" w:bidi="ar-SA"/>
        </w:rPr>
        <w:t xml:space="preserve"> </w:t>
      </w:r>
      <w:r>
        <w:rPr>
          <w:rStyle w:val="21"/>
          <w:rFonts w:hint="eastAsia" w:ascii="宋体" w:hAnsi="宋体" w:eastAsia="宋体" w:cs="宋体"/>
          <w:color w:val="000000"/>
          <w:kern w:val="2"/>
          <w:sz w:val="24"/>
          <w:szCs w:val="24"/>
          <w:lang w:val="en-US" w:eastAsia="zh-CN" w:bidi="ar-SA"/>
        </w:rPr>
        <w:t>甲方提供服务的受益人为本物业的全体客户和物业使用人,本物业全体客户和物业使用人均应履行本合同，承担相应的责任。</w:t>
      </w:r>
    </w:p>
    <w:p w14:paraId="1691EC67">
      <w:pPr>
        <w:kinsoku/>
        <w:wordWrap/>
        <w:overflowPunct/>
        <w:autoSpaceDE/>
        <w:autoSpaceDN/>
        <w:bidi w:val="0"/>
        <w:snapToGrid w:val="0"/>
        <w:spacing w:line="360" w:lineRule="auto"/>
        <w:jc w:val="center"/>
        <w:textAlignment w:val="auto"/>
        <w:rPr>
          <w:rStyle w:val="21"/>
          <w:rFonts w:hint="eastAsia" w:ascii="宋体" w:hAnsi="宋体" w:eastAsia="宋体" w:cs="宋体"/>
          <w:color w:val="000000"/>
          <w:kern w:val="2"/>
          <w:sz w:val="32"/>
          <w:szCs w:val="32"/>
          <w:lang w:val="en-US" w:eastAsia="zh-CN" w:bidi="ar-SA"/>
        </w:rPr>
      </w:pPr>
    </w:p>
    <w:p w14:paraId="471D77B2">
      <w:pPr>
        <w:kinsoku/>
        <w:wordWrap/>
        <w:overflowPunct/>
        <w:autoSpaceDE/>
        <w:autoSpaceDN/>
        <w:bidi w:val="0"/>
        <w:snapToGrid w:val="0"/>
        <w:spacing w:line="360" w:lineRule="auto"/>
        <w:jc w:val="center"/>
        <w:textAlignment w:val="auto"/>
        <w:rPr>
          <w:rStyle w:val="21"/>
          <w:rFonts w:hint="eastAsia" w:ascii="宋体" w:hAnsi="宋体" w:eastAsia="宋体" w:cs="宋体"/>
          <w:color w:val="000000"/>
          <w:kern w:val="2"/>
          <w:sz w:val="32"/>
          <w:szCs w:val="32"/>
          <w:lang w:val="en-US" w:eastAsia="zh-CN" w:bidi="ar-SA"/>
        </w:rPr>
      </w:pPr>
      <w:r>
        <w:rPr>
          <w:rStyle w:val="21"/>
          <w:rFonts w:hint="eastAsia" w:ascii="宋体" w:hAnsi="宋体" w:eastAsia="宋体" w:cs="宋体"/>
          <w:color w:val="000000"/>
          <w:kern w:val="2"/>
          <w:sz w:val="32"/>
          <w:szCs w:val="32"/>
          <w:lang w:val="en-US" w:eastAsia="zh-CN" w:bidi="ar-SA"/>
        </w:rPr>
        <w:t>第二章  委托管理事项</w:t>
      </w:r>
    </w:p>
    <w:p w14:paraId="0F8F73D7">
      <w:p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32"/>
          <w:szCs w:val="32"/>
          <w:lang w:val="en-US" w:eastAsia="zh-CN" w:bidi="ar-SA"/>
        </w:rPr>
      </w:pPr>
    </w:p>
    <w:p w14:paraId="521A7235">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第四条</w:t>
      </w:r>
      <w:r>
        <w:rPr>
          <w:rStyle w:val="21"/>
          <w:rFonts w:hint="eastAsia" w:ascii="宋体" w:hAnsi="宋体" w:eastAsia="宋体" w:cs="宋体"/>
          <w:b/>
          <w:bCs/>
          <w:color w:val="000000"/>
          <w:kern w:val="2"/>
          <w:sz w:val="24"/>
          <w:szCs w:val="24"/>
          <w:lang w:val="en-US" w:eastAsia="zh-CN" w:bidi="ar-SA"/>
        </w:rPr>
        <w:t xml:space="preserve"> </w:t>
      </w:r>
      <w:r>
        <w:rPr>
          <w:rStyle w:val="21"/>
          <w:rFonts w:hint="eastAsia" w:ascii="宋体" w:hAnsi="宋体" w:eastAsia="宋体" w:cs="宋体"/>
          <w:color w:val="000000"/>
          <w:kern w:val="2"/>
          <w:sz w:val="24"/>
          <w:szCs w:val="24"/>
          <w:lang w:val="en-US" w:eastAsia="zh-CN" w:bidi="ar-SA"/>
        </w:rPr>
        <w:t>房屋建筑共用部位的维修、养护和管理，包括：楼体、屋顶、外墙、承重墙体、楼梯间、走廊通道、门厅、庭院等。</w:t>
      </w:r>
    </w:p>
    <w:p w14:paraId="11D9ADA6">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第五条</w:t>
      </w:r>
      <w:r>
        <w:rPr>
          <w:rStyle w:val="21"/>
          <w:rFonts w:hint="eastAsia" w:ascii="宋体" w:hAnsi="宋体" w:eastAsia="宋体" w:cs="宋体"/>
          <w:b/>
          <w:bCs/>
          <w:color w:val="000000"/>
          <w:kern w:val="2"/>
          <w:sz w:val="24"/>
          <w:szCs w:val="24"/>
          <w:lang w:val="en-US" w:eastAsia="zh-CN" w:bidi="ar-SA"/>
        </w:rPr>
        <w:t xml:space="preserve"> </w:t>
      </w:r>
      <w:r>
        <w:rPr>
          <w:rStyle w:val="21"/>
          <w:rFonts w:hint="eastAsia" w:ascii="宋体" w:hAnsi="宋体" w:eastAsia="宋体" w:cs="宋体"/>
          <w:color w:val="000000"/>
          <w:kern w:val="2"/>
          <w:sz w:val="24"/>
          <w:szCs w:val="24"/>
          <w:lang w:val="en-US" w:eastAsia="zh-CN" w:bidi="ar-SA"/>
        </w:rPr>
        <w:t>共用设施、设备的维修、养护、运行和管理，包括：共用的上、下水道、落水管、污水管、共用照明、楼内消防设施设备、弱电、供暖供冷系统、供电系统等。</w:t>
      </w:r>
    </w:p>
    <w:p w14:paraId="0CA492EA">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第六条</w:t>
      </w:r>
      <w:r>
        <w:rPr>
          <w:rStyle w:val="21"/>
          <w:rFonts w:hint="eastAsia" w:ascii="宋体" w:hAnsi="宋体" w:eastAsia="宋体" w:cs="宋体"/>
          <w:b/>
          <w:bCs/>
          <w:color w:val="000000"/>
          <w:kern w:val="2"/>
          <w:sz w:val="24"/>
          <w:szCs w:val="24"/>
          <w:lang w:val="en-US" w:eastAsia="zh-CN" w:bidi="ar-SA"/>
        </w:rPr>
        <w:t xml:space="preserve"> </w:t>
      </w:r>
      <w:r>
        <w:rPr>
          <w:rStyle w:val="21"/>
          <w:rFonts w:hint="eastAsia" w:ascii="宋体" w:hAnsi="宋体" w:eastAsia="宋体" w:cs="宋体"/>
          <w:color w:val="000000"/>
          <w:kern w:val="2"/>
          <w:sz w:val="24"/>
          <w:szCs w:val="24"/>
          <w:lang w:val="en-US" w:eastAsia="zh-CN" w:bidi="ar-SA"/>
        </w:rPr>
        <w:t>市政公共设施和附属建筑物、构筑物的维修、养护和管理，包括：道路、室外上、下水管道，化粪池，泵房，停车场等。</w:t>
      </w:r>
    </w:p>
    <w:p w14:paraId="55E7F9C7">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第七条</w:t>
      </w:r>
      <w:r>
        <w:rPr>
          <w:rStyle w:val="21"/>
          <w:rFonts w:hint="eastAsia" w:ascii="宋体" w:hAnsi="宋体" w:eastAsia="宋体" w:cs="宋体"/>
          <w:b/>
          <w:bCs/>
          <w:color w:val="000000"/>
          <w:kern w:val="2"/>
          <w:sz w:val="24"/>
          <w:szCs w:val="24"/>
          <w:lang w:val="en-US" w:eastAsia="zh-CN" w:bidi="ar-SA"/>
        </w:rPr>
        <w:t xml:space="preserve"> </w:t>
      </w:r>
      <w:r>
        <w:rPr>
          <w:rStyle w:val="21"/>
          <w:rFonts w:hint="eastAsia" w:ascii="宋体" w:hAnsi="宋体" w:eastAsia="宋体" w:cs="宋体"/>
          <w:color w:val="000000"/>
          <w:kern w:val="2"/>
          <w:sz w:val="24"/>
          <w:szCs w:val="24"/>
          <w:lang w:val="en-US" w:eastAsia="zh-CN" w:bidi="ar-SA"/>
        </w:rPr>
        <w:t>公共绿地、花木等养护与管理。</w:t>
      </w:r>
    </w:p>
    <w:p w14:paraId="22DF6BA7">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第八条</w:t>
      </w:r>
      <w:r>
        <w:rPr>
          <w:rStyle w:val="21"/>
          <w:rFonts w:hint="eastAsia" w:ascii="宋体" w:hAnsi="宋体" w:eastAsia="宋体" w:cs="宋体"/>
          <w:b/>
          <w:bCs/>
          <w:color w:val="000000"/>
          <w:kern w:val="2"/>
          <w:sz w:val="24"/>
          <w:szCs w:val="24"/>
          <w:lang w:val="en-US" w:eastAsia="zh-CN" w:bidi="ar-SA"/>
        </w:rPr>
        <w:t xml:space="preserve"> </w:t>
      </w:r>
      <w:r>
        <w:rPr>
          <w:rStyle w:val="21"/>
          <w:rFonts w:hint="eastAsia" w:ascii="宋体" w:hAnsi="宋体" w:eastAsia="宋体" w:cs="宋体"/>
          <w:color w:val="000000"/>
          <w:kern w:val="2"/>
          <w:sz w:val="24"/>
          <w:szCs w:val="24"/>
          <w:lang w:val="en-US" w:eastAsia="zh-CN" w:bidi="ar-SA"/>
        </w:rPr>
        <w:t>附属配套建筑和设施设备的维修、养护和管理。</w:t>
      </w:r>
    </w:p>
    <w:p w14:paraId="7C83CDB6">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第九条</w:t>
      </w:r>
      <w:r>
        <w:rPr>
          <w:rStyle w:val="21"/>
          <w:rFonts w:hint="eastAsia" w:ascii="宋体" w:hAnsi="宋体" w:eastAsia="宋体" w:cs="宋体"/>
          <w:b/>
          <w:bCs/>
          <w:color w:val="000000"/>
          <w:kern w:val="2"/>
          <w:sz w:val="24"/>
          <w:szCs w:val="24"/>
          <w:lang w:val="en-US" w:eastAsia="zh-CN" w:bidi="ar-SA"/>
        </w:rPr>
        <w:t xml:space="preserve"> </w:t>
      </w:r>
      <w:r>
        <w:rPr>
          <w:rStyle w:val="21"/>
          <w:rFonts w:hint="eastAsia" w:ascii="宋体" w:hAnsi="宋体" w:eastAsia="宋体" w:cs="宋体"/>
          <w:color w:val="000000"/>
          <w:kern w:val="2"/>
          <w:sz w:val="24"/>
          <w:szCs w:val="24"/>
          <w:lang w:val="en-US" w:eastAsia="zh-CN" w:bidi="ar-SA"/>
        </w:rPr>
        <w:t>公共环境卫生，包括：房屋共用部位的清洁卫生、公共场所的清洁卫生、垃圾的收集、清运等。</w:t>
      </w:r>
    </w:p>
    <w:p w14:paraId="34271212">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第十条</w:t>
      </w:r>
      <w:r>
        <w:rPr>
          <w:rStyle w:val="21"/>
          <w:rFonts w:hint="eastAsia" w:ascii="宋体" w:hAnsi="宋体" w:eastAsia="宋体" w:cs="宋体"/>
          <w:b/>
          <w:bCs/>
          <w:color w:val="000000"/>
          <w:kern w:val="2"/>
          <w:sz w:val="24"/>
          <w:szCs w:val="24"/>
          <w:lang w:val="en-US" w:eastAsia="zh-CN" w:bidi="ar-SA"/>
        </w:rPr>
        <w:t xml:space="preserve"> </w:t>
      </w:r>
      <w:r>
        <w:rPr>
          <w:rStyle w:val="21"/>
          <w:rFonts w:hint="eastAsia" w:ascii="宋体" w:hAnsi="宋体" w:eastAsia="宋体" w:cs="宋体"/>
          <w:color w:val="000000"/>
          <w:kern w:val="2"/>
          <w:sz w:val="24"/>
          <w:szCs w:val="24"/>
          <w:lang w:val="en-US" w:eastAsia="zh-CN" w:bidi="ar-SA"/>
        </w:rPr>
        <w:t>交通与车辆停放秩序的管理。</w:t>
      </w:r>
    </w:p>
    <w:p w14:paraId="40BE7177">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第十一条</w:t>
      </w:r>
      <w:r>
        <w:rPr>
          <w:rStyle w:val="21"/>
          <w:rFonts w:hint="eastAsia" w:ascii="宋体" w:hAnsi="宋体" w:eastAsia="宋体" w:cs="宋体"/>
          <w:b/>
          <w:bCs/>
          <w:color w:val="000000"/>
          <w:kern w:val="2"/>
          <w:sz w:val="24"/>
          <w:szCs w:val="24"/>
          <w:lang w:val="en-US" w:eastAsia="zh-CN" w:bidi="ar-SA"/>
        </w:rPr>
        <w:t xml:space="preserve"> </w:t>
      </w:r>
      <w:r>
        <w:rPr>
          <w:rStyle w:val="21"/>
          <w:rFonts w:hint="eastAsia" w:ascii="宋体" w:hAnsi="宋体" w:eastAsia="宋体" w:cs="宋体"/>
          <w:color w:val="000000"/>
          <w:kern w:val="2"/>
          <w:sz w:val="24"/>
          <w:szCs w:val="24"/>
          <w:lang w:val="en-US" w:eastAsia="zh-CN" w:bidi="ar-SA"/>
        </w:rPr>
        <w:t>维持公共秩序，包括：安全监控、巡视、门岗执勤等。</w:t>
      </w:r>
    </w:p>
    <w:p w14:paraId="68F5DE4F">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第十二条</w:t>
      </w:r>
      <w:r>
        <w:rPr>
          <w:rStyle w:val="21"/>
          <w:rFonts w:hint="eastAsia" w:ascii="宋体" w:hAnsi="宋体" w:eastAsia="宋体" w:cs="宋体"/>
          <w:color w:val="000000"/>
          <w:kern w:val="2"/>
          <w:sz w:val="24"/>
          <w:szCs w:val="24"/>
          <w:lang w:val="en-US" w:eastAsia="zh-CN" w:bidi="ar-SA"/>
        </w:rPr>
        <w:t xml:space="preserve"> 管理与物业相关的工程图纸、各单位区域档案与竣工验收资料。</w:t>
      </w:r>
    </w:p>
    <w:p w14:paraId="0490D025">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第十三条</w:t>
      </w:r>
      <w:r>
        <w:rPr>
          <w:rStyle w:val="21"/>
          <w:rFonts w:hint="eastAsia" w:ascii="宋体" w:hAnsi="宋体" w:eastAsia="宋体" w:cs="宋体"/>
          <w:color w:val="000000"/>
          <w:kern w:val="2"/>
          <w:sz w:val="24"/>
          <w:szCs w:val="24"/>
          <w:lang w:val="en-US" w:eastAsia="zh-CN" w:bidi="ar-SA"/>
        </w:rPr>
        <w:t xml:space="preserve"> 配合甲方全面做好法院节约能源资源管理工作。</w:t>
      </w:r>
    </w:p>
    <w:p w14:paraId="4F7730CA">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第十四条</w:t>
      </w:r>
      <w:r>
        <w:rPr>
          <w:rStyle w:val="21"/>
          <w:rFonts w:hint="eastAsia" w:ascii="宋体" w:hAnsi="宋体" w:eastAsia="宋体" w:cs="宋体"/>
          <w:color w:val="000000"/>
          <w:kern w:val="2"/>
          <w:sz w:val="24"/>
          <w:szCs w:val="24"/>
          <w:lang w:val="en-US" w:eastAsia="zh-CN" w:bidi="ar-SA"/>
        </w:rPr>
        <w:t xml:space="preserve"> 根据需要，以下特约服务乙方协助管理：</w:t>
      </w:r>
    </w:p>
    <w:p w14:paraId="1800A9E0">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1.举办大型活动协助会场的布置、礼仪和后勤服务；</w:t>
      </w:r>
    </w:p>
    <w:p w14:paraId="44D41FFA">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2.节日花卉摆放及养护和管理等。</w:t>
      </w:r>
    </w:p>
    <w:p w14:paraId="02D390BB">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b w:val="0"/>
          <w:bCs w:val="0"/>
          <w:color w:val="000000"/>
          <w:kern w:val="2"/>
          <w:sz w:val="24"/>
          <w:szCs w:val="24"/>
          <w:lang w:val="en-US" w:eastAsia="zh-CN" w:bidi="ar-SA"/>
        </w:rPr>
        <w:t>第十五条</w:t>
      </w:r>
      <w:r>
        <w:rPr>
          <w:rStyle w:val="21"/>
          <w:rFonts w:hint="eastAsia" w:ascii="宋体" w:hAnsi="宋体" w:eastAsia="宋体" w:cs="宋体"/>
          <w:color w:val="000000"/>
          <w:kern w:val="2"/>
          <w:sz w:val="24"/>
          <w:szCs w:val="24"/>
          <w:lang w:val="en-US" w:eastAsia="zh-CN" w:bidi="ar-SA"/>
        </w:rPr>
        <w:t xml:space="preserve"> 客户和物业使用人房屋自用部位、自用设施设备的维修、养护在当事人提出委托时，乙方须接受委托并合理收费。</w:t>
      </w:r>
    </w:p>
    <w:p w14:paraId="5A679D31">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第十六条 对客户和物业使用人违反道德公约的行为，针对具体行为并根据情节轻重，采取批评、规劝、 警告、制止、要求恢复等措施。</w:t>
      </w:r>
    </w:p>
    <w:p w14:paraId="679F4BCC">
      <w:pPr>
        <w:kinsoku/>
        <w:wordWrap/>
        <w:overflowPunct/>
        <w:autoSpaceDE/>
        <w:autoSpaceDN/>
        <w:bidi w:val="0"/>
        <w:snapToGrid w:val="0"/>
        <w:spacing w:line="360" w:lineRule="auto"/>
        <w:jc w:val="center"/>
        <w:textAlignment w:val="auto"/>
        <w:rPr>
          <w:rStyle w:val="21"/>
          <w:rFonts w:hint="eastAsia" w:ascii="宋体" w:hAnsi="宋体" w:eastAsia="宋体" w:cs="宋体"/>
          <w:color w:val="000000"/>
          <w:kern w:val="2"/>
          <w:sz w:val="32"/>
          <w:szCs w:val="32"/>
          <w:lang w:val="en-US" w:eastAsia="zh-CN" w:bidi="ar-SA"/>
        </w:rPr>
      </w:pPr>
    </w:p>
    <w:p w14:paraId="17BC7C1C">
      <w:pPr>
        <w:kinsoku/>
        <w:wordWrap/>
        <w:overflowPunct/>
        <w:autoSpaceDE/>
        <w:autoSpaceDN/>
        <w:bidi w:val="0"/>
        <w:snapToGrid w:val="0"/>
        <w:spacing w:line="360" w:lineRule="auto"/>
        <w:jc w:val="center"/>
        <w:textAlignment w:val="auto"/>
        <w:rPr>
          <w:rStyle w:val="21"/>
          <w:rFonts w:hint="eastAsia" w:ascii="宋体" w:hAnsi="宋体" w:eastAsia="宋体" w:cs="宋体"/>
          <w:color w:val="000000"/>
          <w:kern w:val="2"/>
          <w:sz w:val="32"/>
          <w:szCs w:val="32"/>
          <w:lang w:val="en-US" w:eastAsia="zh-CN" w:bidi="ar-SA"/>
        </w:rPr>
      </w:pPr>
      <w:r>
        <w:rPr>
          <w:rStyle w:val="21"/>
          <w:rFonts w:hint="eastAsia" w:ascii="宋体" w:hAnsi="宋体" w:eastAsia="宋体" w:cs="宋体"/>
          <w:color w:val="000000"/>
          <w:kern w:val="2"/>
          <w:sz w:val="32"/>
          <w:szCs w:val="32"/>
          <w:lang w:val="en-US" w:eastAsia="zh-CN" w:bidi="ar-SA"/>
        </w:rPr>
        <w:t>第三章  委托管理期限</w:t>
      </w:r>
    </w:p>
    <w:p w14:paraId="0EA0DB03">
      <w:pPr>
        <w:kinsoku/>
        <w:wordWrap/>
        <w:overflowPunct/>
        <w:autoSpaceDE/>
        <w:autoSpaceDN/>
        <w:bidi w:val="0"/>
        <w:snapToGrid w:val="0"/>
        <w:spacing w:line="360" w:lineRule="auto"/>
        <w:jc w:val="center"/>
        <w:textAlignment w:val="auto"/>
        <w:rPr>
          <w:rStyle w:val="21"/>
          <w:rFonts w:hint="eastAsia" w:ascii="宋体" w:hAnsi="宋体" w:eastAsia="宋体" w:cs="宋体"/>
          <w:color w:val="000000"/>
          <w:kern w:val="2"/>
          <w:sz w:val="32"/>
          <w:szCs w:val="32"/>
          <w:lang w:val="en-US" w:eastAsia="zh-CN" w:bidi="ar-SA"/>
        </w:rPr>
      </w:pPr>
    </w:p>
    <w:p w14:paraId="356ECFA2">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第十七条 合同期限。</w:t>
      </w:r>
    </w:p>
    <w:p w14:paraId="26F45766">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第十八条 本合同到期后，甲方根据考核记录、考核标准进行评价考核，综合考核达到优良等次后，可续签合同。因政策变化、财务制度变化等，造成支付困难，甲方有权在提前告知乙方后单方面解除合同。</w:t>
      </w:r>
    </w:p>
    <w:p w14:paraId="2C772573">
      <w:pPr>
        <w:kinsoku/>
        <w:wordWrap/>
        <w:overflowPunct/>
        <w:autoSpaceDE/>
        <w:autoSpaceDN/>
        <w:bidi w:val="0"/>
        <w:snapToGrid w:val="0"/>
        <w:spacing w:line="360" w:lineRule="auto"/>
        <w:jc w:val="center"/>
        <w:textAlignment w:val="auto"/>
        <w:rPr>
          <w:rStyle w:val="21"/>
          <w:rFonts w:hint="eastAsia" w:ascii="宋体" w:hAnsi="宋体" w:eastAsia="宋体" w:cs="宋体"/>
          <w:color w:val="000000"/>
          <w:kern w:val="2"/>
          <w:sz w:val="32"/>
          <w:szCs w:val="32"/>
          <w:lang w:val="en-US" w:eastAsia="zh-CN" w:bidi="ar-SA"/>
        </w:rPr>
      </w:pPr>
    </w:p>
    <w:p w14:paraId="7E8B7B15">
      <w:pPr>
        <w:numPr>
          <w:ilvl w:val="0"/>
          <w:numId w:val="4"/>
        </w:numPr>
        <w:kinsoku/>
        <w:wordWrap/>
        <w:overflowPunct/>
        <w:autoSpaceDE/>
        <w:autoSpaceDN/>
        <w:bidi w:val="0"/>
        <w:snapToGrid w:val="0"/>
        <w:spacing w:line="360" w:lineRule="auto"/>
        <w:jc w:val="center"/>
        <w:textAlignment w:val="auto"/>
        <w:rPr>
          <w:rStyle w:val="21"/>
          <w:rFonts w:hint="eastAsia" w:ascii="宋体" w:hAnsi="宋体" w:eastAsia="宋体" w:cs="宋体"/>
          <w:color w:val="000000"/>
          <w:kern w:val="2"/>
          <w:sz w:val="32"/>
          <w:szCs w:val="32"/>
          <w:lang w:val="en-US" w:eastAsia="zh-CN" w:bidi="ar-SA"/>
        </w:rPr>
      </w:pPr>
      <w:r>
        <w:rPr>
          <w:rStyle w:val="21"/>
          <w:rFonts w:hint="eastAsia" w:ascii="宋体" w:hAnsi="宋体" w:eastAsia="宋体" w:cs="宋体"/>
          <w:color w:val="000000"/>
          <w:kern w:val="2"/>
          <w:sz w:val="32"/>
          <w:szCs w:val="32"/>
          <w:lang w:val="en-US" w:eastAsia="zh-CN" w:bidi="ar-SA"/>
        </w:rPr>
        <w:t xml:space="preserve"> 甲乙双方权利义务</w:t>
      </w:r>
    </w:p>
    <w:p w14:paraId="57F6BA2E">
      <w:pPr>
        <w:numPr>
          <w:ilvl w:val="0"/>
          <w:numId w:val="0"/>
        </w:num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32"/>
          <w:szCs w:val="32"/>
          <w:lang w:val="en-US" w:eastAsia="zh-CN" w:bidi="ar-SA"/>
        </w:rPr>
      </w:pPr>
    </w:p>
    <w:p w14:paraId="281E1313">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第十九条 甲方权利义务</w:t>
      </w:r>
    </w:p>
    <w:p w14:paraId="2C0FD059">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1.负责将经过有关部门验收合格的房屋以及公共设施设备以及工程竣工的全部图纸交给乙方；</w:t>
      </w:r>
    </w:p>
    <w:p w14:paraId="02FF7E5A">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2.负责将全部需要验收的设施设备证件办理到位，并交给乙方；</w:t>
      </w:r>
    </w:p>
    <w:p w14:paraId="02B7B63D">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3.将全部资产造册登记，经甲、乙双方签字，各自存档，作为备查依据；</w:t>
      </w:r>
    </w:p>
    <w:p w14:paraId="585C00A5">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4.整个管理区域的规划、建设应及时告知乙方；</w:t>
      </w:r>
    </w:p>
    <w:p w14:paraId="4583A6FC">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5.对房屋主体的改造、大修、修缮进行审定；</w:t>
      </w:r>
    </w:p>
    <w:p w14:paraId="65D0CB02">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6.代表和维护产权人、使用人的合法权益；</w:t>
      </w:r>
    </w:p>
    <w:p w14:paraId="0DF25527">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7.制定客户公约并监督业主和物业使用人遵守公约；</w:t>
      </w:r>
    </w:p>
    <w:p w14:paraId="2E81C952">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8.拟订物业管理方案;</w:t>
      </w:r>
    </w:p>
    <w:p w14:paraId="6ACDFEFC">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9.检查监督物业管理工作的实施及制度执行情况；</w:t>
      </w:r>
    </w:p>
    <w:p w14:paraId="4768771E">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10.审议物业管理服务年度计划、专项资金使用计划及决算报告；</w:t>
      </w:r>
    </w:p>
    <w:p w14:paraId="7886250D">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11.监督乙方对资产的管理；</w:t>
      </w:r>
    </w:p>
    <w:p w14:paraId="78295E5A">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12.负责支付物业费以及其他费用；</w:t>
      </w:r>
    </w:p>
    <w:p w14:paraId="474B68CE">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13.协助做好物业管理工作和宣传教育、文化生活；</w:t>
      </w:r>
    </w:p>
    <w:p w14:paraId="0AA950E3">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14.向物业公司提供相应的管理用房、及库房。</w:t>
      </w:r>
    </w:p>
    <w:p w14:paraId="0A3BF022">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15.乙方具备的服务条件和经营范围内的业务，甲方不得引进第三方；</w:t>
      </w:r>
    </w:p>
    <w:p w14:paraId="279EF9F8">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16.所有新增加设施设备由甲方负责配备；</w:t>
      </w:r>
    </w:p>
    <w:p w14:paraId="1D7C1FED">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17.甲乙双方物业移交确认现场各项项目程度，移交前所需维修费用由甲方承担。</w:t>
      </w:r>
    </w:p>
    <w:p w14:paraId="0B52E634">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第二十条 乙方权利义务</w:t>
      </w:r>
    </w:p>
    <w:p w14:paraId="0B189159">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1.根据有关法律、法规及本合同的约定，做好物业管理；</w:t>
      </w:r>
    </w:p>
    <w:p w14:paraId="33B9CBCA">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2.对甲方和物业使用人违反法规、规章的行为，提请有关部门处理；</w:t>
      </w:r>
    </w:p>
    <w:p w14:paraId="63DFFBEF">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3.按本合同第十六条的约定，对物业使用人违反公约的行为进行处理；</w:t>
      </w:r>
    </w:p>
    <w:p w14:paraId="56706496">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4.可选聘专业公司承担本物业的专项管理业务，需征得甲方同意后方可引进，但不得将本物业的管理责任转嫁于给第三方；</w:t>
      </w:r>
    </w:p>
    <w:p w14:paraId="674059A5">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5.负责编制房屋、附属建筑物、设施设备、绿化的年度维修养护计划和大中修方案，经甲方审定后再组织实施；</w:t>
      </w:r>
    </w:p>
    <w:p w14:paraId="45EAADDD">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6.向物业使用人书面告知物业使用的有关规定，当业主和物业使用人装修物业时，书面告知有关限制条件，并负责监督；</w:t>
      </w:r>
    </w:p>
    <w:p w14:paraId="6D93B3EB">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7.负责编制物业管理年度计划、专项资金使用计划及决算报告；</w:t>
      </w:r>
    </w:p>
    <w:p w14:paraId="36A375C2">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8.严格遵守国家的价格法规和政策，努力提高服务质量,向业主及物业使用人提供质价相称的服务；</w:t>
      </w:r>
    </w:p>
    <w:p w14:paraId="174BA2B8">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9.对本物业的公共设施不得擅自占用和改变使用功能，如需内改、扩建或完善配套项目，须与甲方协商同意后报有关部门批准方可实施；</w:t>
      </w:r>
    </w:p>
    <w:p w14:paraId="780F9903">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10.房屋以及设备、设施由于质量问题，上报甲方处理；</w:t>
      </w:r>
    </w:p>
    <w:p w14:paraId="003B64E9">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11.物业移交乙方后负责设施设备维修更换；</w:t>
      </w:r>
    </w:p>
    <w:p w14:paraId="11BF3857">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12.乙方坚持以甲方服务要求为宗旨，岗位设置根据服务内容及要求随时调整；人员年龄健康情况等符合甲方要求，且乙方应主动书面告知配置人员与乙方建立法律关系，受乙方领导，与甲方不存在任何的劳动、劳务、雇佣等法律关系。</w:t>
      </w:r>
    </w:p>
    <w:p w14:paraId="1988F8D5">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13.乙方确保甲方使用要求，工作日、节假日均保证物业使用人正常使用；</w:t>
      </w:r>
    </w:p>
    <w:p w14:paraId="00932807">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14.实行24小时响应制度，夜间、节假日按要求值班；</w:t>
      </w:r>
    </w:p>
    <w:p w14:paraId="4A2E2B18">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15.异常天气应迅速响应，确保大风、雨雪天气大院秩序正常，道路通畅。遇暴雨、大风天气，保证大风暴雨后1小时大院基本正常，冬季雪后迅速清理硬化地面、路面积雪，保证道路畅通；</w:t>
      </w:r>
    </w:p>
    <w:p w14:paraId="1818C239">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16.乙方负责承担所有公共区域服务工作；</w:t>
      </w:r>
    </w:p>
    <w:p w14:paraId="6E06164B">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17.乙方负责向甲方提供物业人员的政审资料；</w:t>
      </w:r>
    </w:p>
    <w:p w14:paraId="3E928876">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18.乙方负责对所有物业人员购买工伤保险或意外险；意外险医疗限额不低于</w:t>
      </w:r>
      <w:r>
        <w:rPr>
          <w:rStyle w:val="21"/>
          <w:rFonts w:hint="eastAsia" w:ascii="宋体" w:hAnsi="宋体" w:eastAsia="宋体" w:cs="宋体"/>
          <w:color w:val="000000"/>
          <w:kern w:val="2"/>
          <w:sz w:val="24"/>
          <w:szCs w:val="24"/>
          <w:u w:val="single"/>
          <w:lang w:val="en-US" w:eastAsia="zh-CN" w:bidi="ar-SA"/>
        </w:rPr>
        <w:t>4</w:t>
      </w:r>
      <w:r>
        <w:rPr>
          <w:rStyle w:val="21"/>
          <w:rFonts w:hint="eastAsia" w:ascii="宋体" w:hAnsi="宋体" w:eastAsia="宋体" w:cs="宋体"/>
          <w:color w:val="000000"/>
          <w:kern w:val="2"/>
          <w:sz w:val="24"/>
          <w:szCs w:val="24"/>
          <w:lang w:val="en-US" w:eastAsia="zh-CN" w:bidi="ar-SA"/>
        </w:rPr>
        <w:t>万元，身故限额不低于</w:t>
      </w:r>
      <w:r>
        <w:rPr>
          <w:rStyle w:val="21"/>
          <w:rFonts w:hint="eastAsia" w:ascii="宋体" w:hAnsi="宋体" w:eastAsia="宋体" w:cs="宋体"/>
          <w:color w:val="000000"/>
          <w:kern w:val="2"/>
          <w:sz w:val="24"/>
          <w:szCs w:val="24"/>
          <w:u w:val="single"/>
          <w:lang w:val="en-US" w:eastAsia="zh-CN" w:bidi="ar-SA"/>
        </w:rPr>
        <w:t xml:space="preserve">40 </w:t>
      </w:r>
      <w:r>
        <w:rPr>
          <w:rStyle w:val="21"/>
          <w:rFonts w:hint="eastAsia" w:ascii="宋体" w:hAnsi="宋体" w:eastAsia="宋体" w:cs="宋体"/>
          <w:color w:val="000000"/>
          <w:kern w:val="2"/>
          <w:sz w:val="24"/>
          <w:szCs w:val="24"/>
          <w:lang w:val="en-US" w:eastAsia="zh-CN" w:bidi="ar-SA"/>
        </w:rPr>
        <w:t>万元；（所有员工保险提供甲方作为备案）</w:t>
      </w:r>
    </w:p>
    <w:p w14:paraId="15981199">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19.所有物业人员发生任何不安全事故全权由乙方负责，甲方不承担任何责任、费用；</w:t>
      </w:r>
    </w:p>
    <w:p w14:paraId="1F1292A8">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20.乙方严格按照法院物业管理细则执行物业服务；并承诺达到二级服务标准。</w:t>
      </w:r>
    </w:p>
    <w:p w14:paraId="67825B9C">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21.乙方接受双方协商的考核办法进行被考核；</w:t>
      </w:r>
    </w:p>
    <w:p w14:paraId="255DF84A">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22.乙方应要求所有物业工作人员要有保密意识，严禁将与物业工作无关信息对外泄露，如有泄露信息行为，将追究相关人员责任。</w:t>
      </w:r>
    </w:p>
    <w:p w14:paraId="425BDD0D">
      <w:pPr>
        <w:kinsoku/>
        <w:wordWrap/>
        <w:overflowPunct/>
        <w:autoSpaceDE/>
        <w:autoSpaceDN/>
        <w:bidi w:val="0"/>
        <w:snapToGrid w:val="0"/>
        <w:spacing w:line="360" w:lineRule="auto"/>
        <w:jc w:val="center"/>
        <w:textAlignment w:val="auto"/>
        <w:rPr>
          <w:rStyle w:val="21"/>
          <w:rFonts w:hint="eastAsia" w:ascii="宋体" w:hAnsi="宋体" w:eastAsia="宋体" w:cs="宋体"/>
          <w:color w:val="000000"/>
          <w:kern w:val="2"/>
          <w:sz w:val="32"/>
          <w:szCs w:val="32"/>
          <w:lang w:val="en-US" w:eastAsia="zh-CN" w:bidi="ar-SA"/>
        </w:rPr>
      </w:pPr>
    </w:p>
    <w:p w14:paraId="57DAA26B">
      <w:pPr>
        <w:numPr>
          <w:ilvl w:val="0"/>
          <w:numId w:val="4"/>
        </w:numPr>
        <w:kinsoku/>
        <w:wordWrap/>
        <w:overflowPunct/>
        <w:autoSpaceDE/>
        <w:autoSpaceDN/>
        <w:bidi w:val="0"/>
        <w:snapToGrid w:val="0"/>
        <w:spacing w:line="360" w:lineRule="auto"/>
        <w:ind w:left="0" w:leftChars="0" w:firstLine="0" w:firstLineChars="0"/>
        <w:jc w:val="center"/>
        <w:textAlignment w:val="auto"/>
        <w:rPr>
          <w:rStyle w:val="21"/>
          <w:rFonts w:hint="eastAsia" w:ascii="宋体" w:hAnsi="宋体" w:eastAsia="宋体" w:cs="宋体"/>
          <w:color w:val="000000"/>
          <w:kern w:val="2"/>
          <w:sz w:val="32"/>
          <w:szCs w:val="32"/>
          <w:lang w:val="en-US" w:eastAsia="zh-CN" w:bidi="ar-SA"/>
        </w:rPr>
      </w:pPr>
      <w:r>
        <w:rPr>
          <w:rStyle w:val="21"/>
          <w:rFonts w:hint="eastAsia" w:ascii="宋体" w:hAnsi="宋体" w:eastAsia="宋体" w:cs="宋体"/>
          <w:color w:val="000000"/>
          <w:kern w:val="2"/>
          <w:sz w:val="32"/>
          <w:szCs w:val="32"/>
          <w:lang w:val="en-US" w:eastAsia="zh-CN" w:bidi="ar-SA"/>
        </w:rPr>
        <w:t xml:space="preserve"> 物业管理服务费用</w:t>
      </w:r>
    </w:p>
    <w:p w14:paraId="19804516">
      <w:pPr>
        <w:numPr>
          <w:ilvl w:val="0"/>
          <w:numId w:val="0"/>
        </w:numPr>
        <w:kinsoku/>
        <w:wordWrap/>
        <w:overflowPunct/>
        <w:autoSpaceDE/>
        <w:autoSpaceDN/>
        <w:bidi w:val="0"/>
        <w:snapToGrid w:val="0"/>
        <w:spacing w:line="360" w:lineRule="auto"/>
        <w:ind w:leftChars="0"/>
        <w:jc w:val="both"/>
        <w:textAlignment w:val="auto"/>
        <w:rPr>
          <w:rStyle w:val="21"/>
          <w:rFonts w:hint="eastAsia" w:ascii="宋体" w:hAnsi="宋体" w:eastAsia="宋体" w:cs="宋体"/>
          <w:color w:val="000000"/>
          <w:kern w:val="2"/>
          <w:sz w:val="32"/>
          <w:szCs w:val="32"/>
          <w:lang w:val="en-US" w:eastAsia="zh-CN" w:bidi="ar-SA"/>
        </w:rPr>
      </w:pPr>
    </w:p>
    <w:p w14:paraId="2B05243E">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1.物业服务费标准:本合同年度物业服务费为:，每月物业服务费 元。</w:t>
      </w:r>
    </w:p>
    <w:p w14:paraId="0187E253">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2.乙方提供韩城市税务部门开具的纳税发票（当年有效）。</w:t>
      </w:r>
    </w:p>
    <w:p w14:paraId="3483DA77">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3.物业服务费结算方式:</w:t>
      </w:r>
      <w:r>
        <w:rPr>
          <w:rStyle w:val="21"/>
          <w:rFonts w:hint="eastAsia" w:ascii="宋体" w:hAnsi="宋体" w:cs="宋体"/>
          <w:color w:val="000000"/>
          <w:kern w:val="2"/>
          <w:sz w:val="24"/>
          <w:szCs w:val="24"/>
          <w:lang w:val="en-US" w:eastAsia="zh-CN" w:bidi="ar-SA"/>
        </w:rPr>
        <w:t>半年一结</w:t>
      </w:r>
      <w:r>
        <w:rPr>
          <w:rStyle w:val="21"/>
          <w:rFonts w:hint="eastAsia" w:ascii="宋体" w:hAnsi="宋体" w:eastAsia="宋体" w:cs="宋体"/>
          <w:color w:val="000000"/>
          <w:kern w:val="2"/>
          <w:sz w:val="24"/>
          <w:szCs w:val="24"/>
          <w:lang w:val="en-US" w:eastAsia="zh-CN" w:bidi="ar-SA"/>
        </w:rPr>
        <w:t>。</w:t>
      </w:r>
    </w:p>
    <w:p w14:paraId="67E7532A">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4.经双方协商，除物业管理服务费用外，以下服务费用约定如下：</w:t>
      </w:r>
    </w:p>
    <w:p w14:paraId="5451376B">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A.电梯设施设备需要年审的审验费、维保费及维修费，由甲方实行实报实销；</w:t>
      </w:r>
    </w:p>
    <w:p w14:paraId="7228B44E">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B.建筑物保修期满后及其附属设施设备更新、改造的费用，具体方案由甲方审定，费用由甲方实报实销；</w:t>
      </w:r>
    </w:p>
    <w:p w14:paraId="48F1D989">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C.楼内公共区域盆景绿植管理购置、节假日、活动花卉摆放费用，由甲方实报实销；</w:t>
      </w:r>
    </w:p>
    <w:p w14:paraId="299FFB18">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D.大型活动的接待以实际要求，双方协商核定；</w:t>
      </w:r>
    </w:p>
    <w:p w14:paraId="6071FFC5">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E.公共卫生间的手纸、香薰、洗手液、空气清新剂易耗品，由甲方提供，乙方负责摆放管理；</w:t>
      </w:r>
    </w:p>
    <w:p w14:paraId="583A018F">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F.维修费用超过500元由甲方承担；</w:t>
      </w:r>
    </w:p>
    <w:p w14:paraId="244AC923">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G.消防器材和消防设施到期更换及维保，由甲方实报实销。</w:t>
      </w:r>
    </w:p>
    <w:p w14:paraId="217B99C3">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H.化粪池每年按行业标准清洗，定期进行检查，及时排查可能存在的安全隐患；</w:t>
      </w:r>
    </w:p>
    <w:p w14:paraId="3513E619">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I.以下服务项目除乙方配合的人工费用除外，其他耗材、工具、委托第三方费用均由甲方承担。</w:t>
      </w:r>
    </w:p>
    <w:p w14:paraId="4BB866B6">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1).每年聘请专业公司对生活水箱按行业标准要求至少进行2次全面清洗、消毒，并取得相关水质检测报告；</w:t>
      </w:r>
    </w:p>
    <w:p w14:paraId="5610A4F9">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2).办公楼避雷设施按行业标准要求至少每年检测1次，取得相关检测报告，并定期进行刷漆，检查是否脱焊等；</w:t>
      </w:r>
    </w:p>
    <w:p w14:paraId="709529A2">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3).门禁系统管理，按不同的要求出入门禁，门禁系统定期保养维修；</w:t>
      </w:r>
    </w:p>
    <w:p w14:paraId="03CBC7EC">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4).停车系统，定期保养维修；</w:t>
      </w:r>
    </w:p>
    <w:p w14:paraId="4F2B0394">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J.因房屋、设备设施大中修及更新改造项目、建设工程遗留项目(经基建部门认定)，不包含在物业服务费中，根据需要乙方单独提报计划，由乙方向甲方申请所需报告，经甲方批准后，由甲方委托施工单位完成。</w:t>
      </w:r>
    </w:p>
    <w:p w14:paraId="72BA86F8">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第二十一条 物业费用以及附加费用，随国家规定以及物价指数变化，由甲乙、方协商调整。</w:t>
      </w:r>
    </w:p>
    <w:p w14:paraId="550A2B65">
      <w:p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32"/>
          <w:szCs w:val="32"/>
          <w:lang w:val="en-US" w:eastAsia="zh-CN" w:bidi="ar-SA"/>
        </w:rPr>
      </w:pPr>
    </w:p>
    <w:p w14:paraId="196D4BF3">
      <w:pPr>
        <w:numPr>
          <w:ilvl w:val="0"/>
          <w:numId w:val="4"/>
        </w:numPr>
        <w:kinsoku/>
        <w:wordWrap/>
        <w:overflowPunct/>
        <w:autoSpaceDE/>
        <w:autoSpaceDN/>
        <w:bidi w:val="0"/>
        <w:snapToGrid w:val="0"/>
        <w:spacing w:line="360" w:lineRule="auto"/>
        <w:ind w:left="0" w:leftChars="0" w:firstLine="0" w:firstLineChars="0"/>
        <w:jc w:val="center"/>
        <w:textAlignment w:val="auto"/>
        <w:rPr>
          <w:rStyle w:val="21"/>
          <w:rFonts w:hint="eastAsia" w:ascii="宋体" w:hAnsi="宋体" w:eastAsia="宋体" w:cs="宋体"/>
          <w:color w:val="000000"/>
          <w:kern w:val="2"/>
          <w:sz w:val="32"/>
          <w:szCs w:val="32"/>
          <w:lang w:val="en-US" w:eastAsia="zh-CN" w:bidi="ar-SA"/>
        </w:rPr>
      </w:pPr>
      <w:r>
        <w:rPr>
          <w:rStyle w:val="21"/>
          <w:rFonts w:hint="eastAsia" w:ascii="宋体" w:hAnsi="宋体" w:eastAsia="宋体" w:cs="宋体"/>
          <w:color w:val="000000"/>
          <w:kern w:val="2"/>
          <w:sz w:val="32"/>
          <w:szCs w:val="32"/>
          <w:lang w:val="en-US" w:eastAsia="zh-CN" w:bidi="ar-SA"/>
        </w:rPr>
        <w:t>其  他</w:t>
      </w:r>
    </w:p>
    <w:p w14:paraId="60F9B747">
      <w:pPr>
        <w:numPr>
          <w:ilvl w:val="0"/>
          <w:numId w:val="0"/>
        </w:numPr>
        <w:kinsoku/>
        <w:wordWrap/>
        <w:overflowPunct/>
        <w:autoSpaceDE/>
        <w:autoSpaceDN/>
        <w:bidi w:val="0"/>
        <w:snapToGrid w:val="0"/>
        <w:spacing w:line="360" w:lineRule="auto"/>
        <w:ind w:leftChars="0"/>
        <w:jc w:val="both"/>
        <w:textAlignment w:val="auto"/>
        <w:rPr>
          <w:rStyle w:val="21"/>
          <w:rFonts w:hint="eastAsia" w:ascii="宋体" w:hAnsi="宋体" w:eastAsia="宋体" w:cs="宋体"/>
          <w:color w:val="000000"/>
          <w:kern w:val="2"/>
          <w:sz w:val="32"/>
          <w:szCs w:val="32"/>
          <w:lang w:val="en-US" w:eastAsia="zh-CN" w:bidi="ar-SA"/>
        </w:rPr>
      </w:pPr>
    </w:p>
    <w:p w14:paraId="7B2320BB">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第二十二条 本管理区域属于法院资产，不得以使用人的变更而改变合同。</w:t>
      </w:r>
    </w:p>
    <w:p w14:paraId="20477048">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第二十三条 乙方在服务过程中，服务质量多次不达标，甲方提出整改要求，乙方故意拖延，未按时整改到位，或发生重大责任事故，甲方有权随时终止合同。</w:t>
      </w:r>
    </w:p>
    <w:p w14:paraId="3FAD1843">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第二十四条 本合同一式四份，甲乙方各持两份，所持份数均具有同等法律效力。本合同自双方签字盖章之日起生效。</w:t>
      </w:r>
    </w:p>
    <w:p w14:paraId="7A6E06A5">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第二十五条 本合同执行期间，如遇不可抗力，致使合同无法履行时，双方按有关法律规定及时协商处理。</w:t>
      </w:r>
    </w:p>
    <w:p w14:paraId="0F7E185D">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第二十六条 本合同在履行中如发生争议，双方应协商解决，协商不成时，可以依法向人民法院起诉。</w:t>
      </w:r>
    </w:p>
    <w:p w14:paraId="4BC86F78">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第二十七条 本合同未尽事宜，由甲乙双方协商签订补充合同。</w:t>
      </w:r>
    </w:p>
    <w:p w14:paraId="2D6CF698">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第二十八条 合同期满，本合同自然终止，双方如续订合同，应在该合同期满一个月前向对方提出书面意见。</w:t>
      </w:r>
    </w:p>
    <w:p w14:paraId="7D4C2253">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第二十九条 本合同自签订之日起生效。</w:t>
      </w:r>
    </w:p>
    <w:p w14:paraId="5FEEE782">
      <w:p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24"/>
          <w:szCs w:val="24"/>
          <w:lang w:val="en-US" w:eastAsia="zh-CN" w:bidi="ar-SA"/>
        </w:rPr>
      </w:pPr>
    </w:p>
    <w:p w14:paraId="5C26DA9C">
      <w:p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24"/>
          <w:szCs w:val="24"/>
          <w:lang w:val="en-US" w:eastAsia="zh-CN" w:bidi="ar-SA"/>
        </w:rPr>
      </w:pPr>
    </w:p>
    <w:p w14:paraId="6046F99E">
      <w:p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24"/>
          <w:szCs w:val="24"/>
          <w:lang w:val="en-US" w:eastAsia="zh-CN" w:bidi="ar-SA"/>
        </w:rPr>
      </w:pPr>
    </w:p>
    <w:p w14:paraId="2EEF76D9">
      <w:pPr>
        <w:kinsoku/>
        <w:wordWrap/>
        <w:overflowPunct/>
        <w:autoSpaceDE/>
        <w:autoSpaceDN/>
        <w:bidi w:val="0"/>
        <w:snapToGrid w:val="0"/>
        <w:spacing w:line="360" w:lineRule="auto"/>
        <w:ind w:firstLine="240" w:firstLineChars="1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甲方(盖章)：                 乙方(盖章):</w:t>
      </w:r>
    </w:p>
    <w:p w14:paraId="32254D76">
      <w:p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24"/>
          <w:szCs w:val="24"/>
          <w:lang w:val="en-US" w:eastAsia="zh-CN" w:bidi="ar-SA"/>
        </w:rPr>
      </w:pPr>
    </w:p>
    <w:p w14:paraId="0FBCA803">
      <w:pPr>
        <w:kinsoku/>
        <w:wordWrap/>
        <w:overflowPunct/>
        <w:autoSpaceDE/>
        <w:autoSpaceDN/>
        <w:bidi w:val="0"/>
        <w:snapToGrid w:val="0"/>
        <w:spacing w:line="360" w:lineRule="auto"/>
        <w:ind w:firstLine="240" w:firstLineChars="1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法定代表人                   法定代表人</w:t>
      </w:r>
    </w:p>
    <w:p w14:paraId="6703A326">
      <w:p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(或被授权人):                (或被授权人):</w:t>
      </w:r>
    </w:p>
    <w:p w14:paraId="1598E4FE">
      <w:pPr>
        <w:kinsoku/>
        <w:wordWrap/>
        <w:overflowPunct/>
        <w:autoSpaceDE/>
        <w:autoSpaceDN/>
        <w:bidi w:val="0"/>
        <w:snapToGrid w:val="0"/>
        <w:spacing w:line="360" w:lineRule="auto"/>
        <w:jc w:val="both"/>
        <w:textAlignment w:val="auto"/>
        <w:rPr>
          <w:rStyle w:val="21"/>
          <w:rFonts w:hint="eastAsia" w:ascii="宋体" w:hAnsi="宋体" w:eastAsia="宋体" w:cs="宋体"/>
          <w:color w:val="000000"/>
          <w:kern w:val="2"/>
          <w:sz w:val="24"/>
          <w:szCs w:val="24"/>
          <w:lang w:val="en-US" w:eastAsia="zh-CN" w:bidi="ar-SA"/>
        </w:rPr>
      </w:pPr>
    </w:p>
    <w:p w14:paraId="0F15930F">
      <w:pPr>
        <w:kinsoku/>
        <w:wordWrap/>
        <w:overflowPunct/>
        <w:autoSpaceDE/>
        <w:autoSpaceDN/>
        <w:bidi w:val="0"/>
        <w:snapToGrid w:val="0"/>
        <w:spacing w:line="360" w:lineRule="auto"/>
        <w:ind w:firstLine="480" w:firstLineChars="200"/>
        <w:jc w:val="both"/>
        <w:textAlignment w:val="auto"/>
        <w:rPr>
          <w:rStyle w:val="21"/>
          <w:rFonts w:hint="eastAsia" w:ascii="宋体" w:hAnsi="宋体" w:eastAsia="宋体" w:cs="宋体"/>
          <w:color w:val="000000"/>
          <w:kern w:val="2"/>
          <w:sz w:val="24"/>
          <w:szCs w:val="24"/>
          <w:lang w:val="en-US" w:eastAsia="zh-CN" w:bidi="ar-SA"/>
        </w:rPr>
      </w:pPr>
      <w:r>
        <w:rPr>
          <w:rStyle w:val="21"/>
          <w:rFonts w:hint="eastAsia" w:ascii="宋体" w:hAnsi="宋体" w:eastAsia="宋体" w:cs="宋体"/>
          <w:color w:val="000000"/>
          <w:kern w:val="2"/>
          <w:sz w:val="24"/>
          <w:szCs w:val="24"/>
          <w:lang w:val="en-US" w:eastAsia="zh-CN" w:bidi="ar-SA"/>
        </w:rPr>
        <w:t>日期:                       日期:</w:t>
      </w:r>
    </w:p>
    <w:p w14:paraId="7A544B6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7E59A"/>
    <w:multiLevelType w:val="multilevel"/>
    <w:tmpl w:val="9A77E59A"/>
    <w:lvl w:ilvl="0" w:tentative="0">
      <w:start w:val="1"/>
      <w:numFmt w:val="decimal"/>
      <w:suff w:val="space"/>
      <w:lvlText w:val="%1."/>
      <w:lvlJc w:val="left"/>
      <w:pPr>
        <w:tabs>
          <w:tab w:val="left" w:pos="0"/>
        </w:tabs>
        <w:ind w:left="432" w:hanging="432"/>
      </w:pPr>
      <w:rPr>
        <w:rFonts w:hint="default" w:ascii="Times New Roman" w:hAnsi="Times New Roman" w:cs="Times New Roman"/>
        <w:b/>
        <w:bCs/>
        <w:sz w:val="28"/>
        <w:szCs w:val="28"/>
      </w:rPr>
    </w:lvl>
    <w:lvl w:ilvl="1" w:tentative="0">
      <w:start w:val="1"/>
      <w:numFmt w:val="decimal"/>
      <w:suff w:val="space"/>
      <w:lvlText w:val="%1.%2."/>
      <w:lvlJc w:val="left"/>
      <w:pPr>
        <w:tabs>
          <w:tab w:val="left" w:pos="420"/>
        </w:tabs>
        <w:ind w:left="575" w:hanging="575"/>
      </w:pPr>
      <w:rPr>
        <w:rFonts w:hint="default" w:ascii="Times New Roman" w:hAnsi="Times New Roman" w:cs="Times New Roman"/>
        <w:sz w:val="28"/>
        <w:szCs w:val="28"/>
      </w:rPr>
    </w:lvl>
    <w:lvl w:ilvl="2" w:tentative="0">
      <w:start w:val="1"/>
      <w:numFmt w:val="decimal"/>
      <w:suff w:val="space"/>
      <w:lvlText w:val="%1.%2.%3."/>
      <w:lvlJc w:val="left"/>
      <w:pPr>
        <w:tabs>
          <w:tab w:val="left" w:pos="567"/>
        </w:tabs>
        <w:ind w:left="0" w:firstLine="567"/>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C3A7D61"/>
    <w:multiLevelType w:val="multilevel"/>
    <w:tmpl w:val="9C3A7D61"/>
    <w:lvl w:ilvl="0" w:tentative="0">
      <w:start w:val="1"/>
      <w:numFmt w:val="chineseCounting"/>
      <w:pStyle w:val="2"/>
      <w:lvlText w:val="%1、"/>
      <w:lvlJc w:val="left"/>
      <w:pPr>
        <w:tabs>
          <w:tab w:val="left" w:pos="420"/>
        </w:tabs>
        <w:ind w:left="720" w:hanging="720"/>
      </w:pPr>
      <w:rPr>
        <w:rFonts w:hint="eastAsia" w:ascii="宋体" w:hAnsi="宋体" w:eastAsia="宋体" w:cs="宋体"/>
      </w:rPr>
    </w:lvl>
    <w:lvl w:ilvl="1" w:tentative="0">
      <w:start w:val="1"/>
      <w:numFmt w:val="chineseCounting"/>
      <w:pStyle w:val="3"/>
      <w:suff w:val="nothing"/>
      <w:lvlText w:val="（%2）"/>
      <w:lvlJc w:val="left"/>
      <w:pPr>
        <w:tabs>
          <w:tab w:val="left" w:pos="420"/>
        </w:tabs>
        <w:ind w:left="720" w:hanging="720"/>
      </w:pPr>
      <w:rPr>
        <w:rFonts w:hint="eastAsia" w:ascii="宋体" w:hAnsi="宋体" w:eastAsia="宋体" w:cs="宋体"/>
      </w:rPr>
    </w:lvl>
    <w:lvl w:ilvl="2" w:tentative="0">
      <w:start w:val="1"/>
      <w:numFmt w:val="decimal"/>
      <w:pStyle w:val="4"/>
      <w:suff w:val="nothing"/>
      <w:lvlText w:val="%3、"/>
      <w:lvlJc w:val="left"/>
      <w:pPr>
        <w:tabs>
          <w:tab w:val="left" w:pos="0"/>
        </w:tabs>
        <w:ind w:left="420" w:firstLine="419"/>
      </w:pPr>
      <w:rPr>
        <w:rFonts w:hint="eastAsia" w:ascii="宋体" w:hAnsi="宋体" w:eastAsia="宋体" w:cs="宋体"/>
      </w:rPr>
    </w:lvl>
    <w:lvl w:ilvl="3" w:tentative="0">
      <w:start w:val="1"/>
      <w:numFmt w:val="decimal"/>
      <w:pStyle w:val="5"/>
      <w:suff w:val="nothing"/>
      <w:lvlText w:val="%3.%4 "/>
      <w:lvlJc w:val="left"/>
      <w:pPr>
        <w:tabs>
          <w:tab w:val="left" w:pos="0"/>
        </w:tabs>
        <w:ind w:left="420" w:firstLine="419"/>
      </w:pPr>
      <w:rPr>
        <w:rFonts w:hint="eastAsia" w:ascii="宋体" w:hAnsi="宋体" w:eastAsia="宋体" w:cs="宋体"/>
      </w:rPr>
    </w:lvl>
    <w:lvl w:ilvl="4" w:tentative="0">
      <w:start w:val="1"/>
      <w:numFmt w:val="decimal"/>
      <w:pStyle w:val="6"/>
      <w:suff w:val="space"/>
      <w:lvlText w:val="%3.%4.%5"/>
      <w:lvlJc w:val="left"/>
      <w:pPr>
        <w:tabs>
          <w:tab w:val="left" w:pos="420"/>
        </w:tabs>
        <w:ind w:left="720" w:firstLine="119"/>
      </w:pPr>
      <w:rPr>
        <w:rFonts w:hint="eastAsia" w:ascii="宋体" w:hAnsi="宋体" w:eastAsia="宋体" w:cs="宋体"/>
      </w:rPr>
    </w:lvl>
    <w:lvl w:ilvl="5" w:tentative="0">
      <w:start w:val="1"/>
      <w:numFmt w:val="decimal"/>
      <w:pStyle w:val="7"/>
      <w:suff w:val="nothing"/>
      <w:lvlText w:val="（%6）"/>
      <w:lvlJc w:val="left"/>
      <w:pPr>
        <w:tabs>
          <w:tab w:val="left" w:pos="420"/>
        </w:tabs>
        <w:ind w:left="720" w:firstLine="119"/>
      </w:pPr>
      <w:rPr>
        <w:rFonts w:hint="eastAsia" w:ascii="宋体" w:hAnsi="宋体" w:eastAsia="宋体" w:cs="宋体"/>
      </w:rPr>
    </w:lvl>
    <w:lvl w:ilvl="6" w:tentative="0">
      <w:start w:val="1"/>
      <w:numFmt w:val="decimalEnclosedCircleChinese"/>
      <w:pStyle w:val="8"/>
      <w:suff w:val="nothing"/>
      <w:lvlText w:val="%7 "/>
      <w:lvlJc w:val="left"/>
      <w:pPr>
        <w:tabs>
          <w:tab w:val="left" w:pos="420"/>
        </w:tabs>
        <w:ind w:left="3673" w:hanging="2834"/>
      </w:pPr>
      <w:rPr>
        <w:rFonts w:hint="eastAsia" w:ascii="宋体" w:hAnsi="宋体" w:eastAsia="宋体" w:cs="宋体"/>
      </w:rPr>
    </w:lvl>
    <w:lvl w:ilvl="7" w:tentative="0">
      <w:start w:val="1"/>
      <w:numFmt w:val="none"/>
      <w:lvlText w:val=""/>
      <w:lvlJc w:val="left"/>
      <w:pPr>
        <w:tabs>
          <w:tab w:val="left" w:pos="420"/>
        </w:tabs>
        <w:ind w:left="4218" w:hanging="1418"/>
      </w:pPr>
      <w:rPr>
        <w:rFonts w:hint="eastAsia" w:ascii="宋体" w:hAnsi="宋体" w:eastAsia="宋体" w:cs="宋体"/>
      </w:rPr>
    </w:lvl>
    <w:lvl w:ilvl="8" w:tentative="0">
      <w:start w:val="1"/>
      <w:numFmt w:val="none"/>
      <w:lvlText w:val=""/>
      <w:lvlJc w:val="left"/>
      <w:pPr>
        <w:ind w:left="4648" w:hanging="1448"/>
      </w:pPr>
      <w:rPr>
        <w:rFonts w:hint="eastAsia" w:ascii="宋体" w:hAnsi="宋体" w:eastAsia="宋体" w:cs="宋体"/>
      </w:rPr>
    </w:lvl>
  </w:abstractNum>
  <w:abstractNum w:abstractNumId="2">
    <w:nsid w:val="A79A18E9"/>
    <w:multiLevelType w:val="singleLevel"/>
    <w:tmpl w:val="A79A18E9"/>
    <w:lvl w:ilvl="0" w:tentative="0">
      <w:start w:val="4"/>
      <w:numFmt w:val="chineseCounting"/>
      <w:suff w:val="space"/>
      <w:lvlText w:val="第%1章"/>
      <w:lvlJc w:val="left"/>
      <w:rPr>
        <w:rFonts w:hint="eastAsia"/>
      </w:rPr>
    </w:lvl>
  </w:abstractNum>
  <w:abstractNum w:abstractNumId="3">
    <w:nsid w:val="28E68F80"/>
    <w:multiLevelType w:val="singleLevel"/>
    <w:tmpl w:val="28E68F80"/>
    <w:lvl w:ilvl="0" w:tentative="0">
      <w:start w:val="1"/>
      <w:numFmt w:val="chineseCounting"/>
      <w:suff w:val="space"/>
      <w:lvlText w:val="第%1章"/>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7607E"/>
    <w:rsid w:val="04B3739D"/>
    <w:rsid w:val="0B4C489D"/>
    <w:rsid w:val="0CF703FF"/>
    <w:rsid w:val="0D66168E"/>
    <w:rsid w:val="15393DD1"/>
    <w:rsid w:val="16560BB2"/>
    <w:rsid w:val="1CDD56BA"/>
    <w:rsid w:val="2CA2447F"/>
    <w:rsid w:val="2F4704DD"/>
    <w:rsid w:val="2FB2152F"/>
    <w:rsid w:val="33695841"/>
    <w:rsid w:val="3390372F"/>
    <w:rsid w:val="34DC6C1E"/>
    <w:rsid w:val="357A0558"/>
    <w:rsid w:val="3E8D432B"/>
    <w:rsid w:val="432C4745"/>
    <w:rsid w:val="45C66607"/>
    <w:rsid w:val="466C1E9E"/>
    <w:rsid w:val="46782841"/>
    <w:rsid w:val="48462E5D"/>
    <w:rsid w:val="4A0D137A"/>
    <w:rsid w:val="4C6A5D11"/>
    <w:rsid w:val="4C70631A"/>
    <w:rsid w:val="55932B7D"/>
    <w:rsid w:val="5B276899"/>
    <w:rsid w:val="635C4D21"/>
    <w:rsid w:val="66C023A3"/>
    <w:rsid w:val="69CA020E"/>
    <w:rsid w:val="70E83C89"/>
    <w:rsid w:val="71E56ACF"/>
    <w:rsid w:val="740B6AC8"/>
    <w:rsid w:val="782A2DB5"/>
    <w:rsid w:val="7F4F4D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spacing w:beforeLines="0" w:beforeAutospacing="0" w:afterLines="0" w:afterAutospacing="0" w:line="360" w:lineRule="auto"/>
      <w:ind w:left="720" w:hanging="720"/>
      <w:jc w:val="center"/>
      <w:outlineLvl w:val="0"/>
    </w:pPr>
    <w:rPr>
      <w:rFonts w:ascii="+西文正文" w:hAnsi="+西文正文" w:cs="Times New Roman"/>
      <w:b/>
      <w:kern w:val="44"/>
      <w:sz w:val="36"/>
    </w:rPr>
  </w:style>
  <w:style w:type="paragraph" w:styleId="3">
    <w:name w:val="heading 2"/>
    <w:basedOn w:val="1"/>
    <w:next w:val="1"/>
    <w:link w:val="18"/>
    <w:unhideWhenUsed/>
    <w:qFormat/>
    <w:uiPriority w:val="0"/>
    <w:pPr>
      <w:keepNext/>
      <w:keepLines/>
      <w:widowControl/>
      <w:numPr>
        <w:ilvl w:val="1"/>
        <w:numId w:val="1"/>
      </w:numPr>
      <w:tabs>
        <w:tab w:val="left" w:pos="3780"/>
        <w:tab w:val="clear" w:pos="420"/>
      </w:tabs>
      <w:spacing w:before="260" w:beforeLines="0" w:after="260" w:afterLines="0" w:line="413" w:lineRule="auto"/>
      <w:ind w:left="720" w:hanging="720"/>
      <w:jc w:val="center"/>
      <w:outlineLvl w:val="1"/>
    </w:pPr>
    <w:rPr>
      <w:rFonts w:ascii="宋体" w:hAnsi="宋体" w:eastAsia="宋体" w:cs="Times New Roman"/>
      <w:b/>
      <w:bCs/>
      <w:kern w:val="0"/>
      <w:sz w:val="28"/>
      <w:szCs w:val="32"/>
    </w:rPr>
  </w:style>
  <w:style w:type="paragraph" w:styleId="4">
    <w:name w:val="heading 3"/>
    <w:basedOn w:val="1"/>
    <w:next w:val="1"/>
    <w:unhideWhenUsed/>
    <w:qFormat/>
    <w:uiPriority w:val="0"/>
    <w:pPr>
      <w:keepNext/>
      <w:keepLines/>
      <w:numPr>
        <w:ilvl w:val="2"/>
        <w:numId w:val="1"/>
      </w:numPr>
      <w:spacing w:line="360" w:lineRule="auto"/>
      <w:ind w:left="420" w:leftChars="0" w:firstLine="419" w:firstLineChars="0"/>
      <w:jc w:val="center"/>
      <w:outlineLvl w:val="2"/>
    </w:pPr>
    <w:rPr>
      <w:rFonts w:ascii="Times New Roman" w:hAnsi="Times New Roman" w:eastAsia="宋体" w:cs="Times New Roman"/>
      <w:b/>
      <w:bCs/>
      <w:sz w:val="24"/>
      <w:szCs w:val="32"/>
    </w:rPr>
  </w:style>
  <w:style w:type="paragraph" w:styleId="5">
    <w:name w:val="heading 4"/>
    <w:basedOn w:val="1"/>
    <w:next w:val="1"/>
    <w:link w:val="19"/>
    <w:unhideWhenUsed/>
    <w:qFormat/>
    <w:uiPriority w:val="0"/>
    <w:pPr>
      <w:keepNext/>
      <w:keepLines/>
      <w:widowControl/>
      <w:numPr>
        <w:ilvl w:val="3"/>
        <w:numId w:val="1"/>
      </w:numPr>
      <w:spacing w:before="280" w:beforeLines="0" w:after="290" w:afterLines="0" w:line="372" w:lineRule="auto"/>
      <w:ind w:left="420" w:firstLine="419"/>
      <w:jc w:val="left"/>
      <w:outlineLvl w:val="3"/>
    </w:pPr>
    <w:rPr>
      <w:rFonts w:ascii="Arial" w:hAnsi="Arial" w:eastAsia="宋体" w:cs="Times New Roman"/>
      <w:b/>
      <w:bCs/>
      <w:kern w:val="0"/>
      <w:sz w:val="28"/>
      <w:szCs w:val="28"/>
    </w:rPr>
  </w:style>
  <w:style w:type="paragraph" w:styleId="6">
    <w:name w:val="heading 5"/>
    <w:basedOn w:val="1"/>
    <w:next w:val="1"/>
    <w:unhideWhenUsed/>
    <w:qFormat/>
    <w:uiPriority w:val="0"/>
    <w:pPr>
      <w:keepNext w:val="0"/>
      <w:keepLines w:val="0"/>
      <w:numPr>
        <w:ilvl w:val="4"/>
        <w:numId w:val="1"/>
      </w:numPr>
      <w:spacing w:beforeLines="0" w:beforeAutospacing="0" w:afterLines="0" w:afterAutospacing="0" w:line="360" w:lineRule="auto"/>
      <w:ind w:left="720" w:leftChars="0" w:firstLine="119" w:firstLineChars="0"/>
      <w:outlineLvl w:val="4"/>
    </w:pPr>
    <w:rPr>
      <w:rFonts w:ascii="Times New Roman" w:hAnsi="Times New Roman" w:eastAsia="宋体" w:cs="Times New Roman"/>
      <w:b/>
      <w:sz w:val="24"/>
    </w:rPr>
  </w:style>
  <w:style w:type="paragraph" w:styleId="7">
    <w:name w:val="heading 6"/>
    <w:basedOn w:val="1"/>
    <w:next w:val="1"/>
    <w:unhideWhenUsed/>
    <w:qFormat/>
    <w:uiPriority w:val="0"/>
    <w:pPr>
      <w:keepNext w:val="0"/>
      <w:keepLines w:val="0"/>
      <w:numPr>
        <w:ilvl w:val="5"/>
        <w:numId w:val="1"/>
      </w:numPr>
      <w:spacing w:beforeLines="0" w:beforeAutospacing="0" w:afterLines="0" w:afterAutospacing="0" w:line="360" w:lineRule="auto"/>
      <w:ind w:left="720" w:leftChars="0" w:firstLine="119" w:firstLineChars="0"/>
      <w:outlineLvl w:val="5"/>
    </w:pPr>
    <w:rPr>
      <w:rFonts w:ascii="Arial" w:hAnsi="Arial" w:eastAsia="宋体" w:cs="Times New Roman"/>
      <w:b/>
      <w:sz w:val="24"/>
    </w:rPr>
  </w:style>
  <w:style w:type="paragraph" w:styleId="8">
    <w:name w:val="heading 7"/>
    <w:basedOn w:val="1"/>
    <w:next w:val="1"/>
    <w:unhideWhenUsed/>
    <w:qFormat/>
    <w:uiPriority w:val="0"/>
    <w:pPr>
      <w:keepNext/>
      <w:keepLines/>
      <w:numPr>
        <w:ilvl w:val="6"/>
        <w:numId w:val="1"/>
      </w:numPr>
      <w:spacing w:before="240" w:beforeLines="0" w:beforeAutospacing="0" w:after="64" w:afterLines="0" w:afterAutospacing="0" w:line="317" w:lineRule="auto"/>
      <w:ind w:left="3673" w:hanging="2834"/>
      <w:outlineLvl w:val="6"/>
    </w:pPr>
    <w:rPr>
      <w:b/>
      <w:sz w:val="24"/>
    </w:rPr>
  </w:style>
  <w:style w:type="paragraph" w:styleId="9">
    <w:name w:val="heading 8"/>
    <w:basedOn w:val="1"/>
    <w:next w:val="1"/>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7">
    <w:name w:val="Default Paragraph Font"/>
    <w:semiHidden/>
    <w:qFormat/>
    <w:uiPriority w:val="0"/>
  </w:style>
  <w:style w:type="table" w:default="1" w:styleId="16">
    <w:name w:val="Normal Table"/>
    <w:semiHidden/>
    <w:qFormat/>
    <w:uiPriority w:val="0"/>
    <w:tblPr>
      <w:tblStyle w:val="16"/>
      <w:tblCellMar>
        <w:top w:w="0" w:type="dxa"/>
        <w:left w:w="108" w:type="dxa"/>
        <w:bottom w:w="0" w:type="dxa"/>
        <w:right w:w="108" w:type="dxa"/>
      </w:tblCellMar>
    </w:tblPr>
  </w:style>
  <w:style w:type="paragraph" w:styleId="11">
    <w:name w:val="Normal Indent"/>
    <w:basedOn w:val="1"/>
    <w:next w:val="1"/>
    <w:qFormat/>
    <w:uiPriority w:val="0"/>
    <w:pPr>
      <w:ind w:firstLine="420" w:firstLineChars="200"/>
    </w:pPr>
  </w:style>
  <w:style w:type="paragraph" w:styleId="12">
    <w:name w:val="Body Text"/>
    <w:basedOn w:val="1"/>
    <w:next w:val="1"/>
    <w:uiPriority w:val="0"/>
    <w:pPr>
      <w:spacing w:after="120" w:afterLines="0" w:afterAutospacing="0"/>
    </w:pPr>
  </w:style>
  <w:style w:type="paragraph" w:styleId="13">
    <w:name w:val="toc 3"/>
    <w:basedOn w:val="1"/>
    <w:next w:val="1"/>
    <w:qFormat/>
    <w:uiPriority w:val="0"/>
    <w:pPr>
      <w:spacing w:line="360" w:lineRule="auto"/>
      <w:ind w:left="840" w:leftChars="400"/>
    </w:pPr>
    <w:rPr>
      <w:rFonts w:ascii="Times New Roman" w:hAnsi="Times New Roman" w:eastAsia="宋体" w:cs="Times New Roman"/>
    </w:rPr>
  </w:style>
  <w:style w:type="paragraph" w:styleId="14">
    <w:name w:val="toc 1"/>
    <w:basedOn w:val="1"/>
    <w:next w:val="1"/>
    <w:qFormat/>
    <w:uiPriority w:val="0"/>
    <w:pPr>
      <w:spacing w:line="360" w:lineRule="auto"/>
    </w:pPr>
    <w:rPr>
      <w:rFonts w:ascii="Times New Roman" w:hAnsi="Times New Roman" w:eastAsia="宋体" w:cs="Times New Roman"/>
      <w:b/>
      <w:sz w:val="24"/>
    </w:rPr>
  </w:style>
  <w:style w:type="paragraph" w:styleId="15">
    <w:name w:val="toc 2"/>
    <w:basedOn w:val="1"/>
    <w:next w:val="1"/>
    <w:qFormat/>
    <w:uiPriority w:val="0"/>
    <w:pPr>
      <w:spacing w:line="360" w:lineRule="auto"/>
      <w:ind w:left="420" w:leftChars="200"/>
    </w:pPr>
    <w:rPr>
      <w:rFonts w:ascii="Times New Roman" w:hAnsi="Times New Roman" w:eastAsia="宋体" w:cs="Times New Roman"/>
      <w:sz w:val="21"/>
    </w:rPr>
  </w:style>
  <w:style w:type="character" w:customStyle="1" w:styleId="18">
    <w:name w:val="标题 2 Char"/>
    <w:link w:val="3"/>
    <w:qFormat/>
    <w:uiPriority w:val="0"/>
    <w:rPr>
      <w:rFonts w:ascii="宋体" w:hAnsi="宋体" w:eastAsia="宋体" w:cs="Times New Roman"/>
      <w:b/>
      <w:bCs/>
      <w:kern w:val="0"/>
      <w:sz w:val="28"/>
      <w:szCs w:val="32"/>
    </w:rPr>
  </w:style>
  <w:style w:type="character" w:customStyle="1" w:styleId="19">
    <w:name w:val="标题 4 Char"/>
    <w:link w:val="5"/>
    <w:uiPriority w:val="0"/>
    <w:rPr>
      <w:rFonts w:ascii="Arial" w:hAnsi="Arial" w:eastAsia="宋体" w:cs="Times New Roman"/>
      <w:b/>
      <w:bCs/>
      <w:kern w:val="0"/>
      <w:sz w:val="28"/>
      <w:szCs w:val="28"/>
    </w:rPr>
  </w:style>
  <w:style w:type="paragraph" w:customStyle="1" w:styleId="2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
    <w:name w:val="NormalCharacter"/>
    <w:semiHidden/>
    <w:qFormat/>
    <w:uiPriority w:val="0"/>
    <w:rPr>
      <w:rFonts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7</Pages>
  <Words>3373</Words>
  <Characters>3468</Characters>
  <Lines>0</Lines>
  <Paragraphs>0</Paragraphs>
  <TotalTime>0</TotalTime>
  <ScaleCrop>false</ScaleCrop>
  <LinksUpToDate>false</LinksUpToDate>
  <CharactersWithSpaces>3793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WPS_1488418293</cp:lastModifiedBy>
  <dcterms:modified xsi:type="dcterms:W3CDTF">2026-03-10T08:45:15Z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D68A2E74DBFF414A8E1E43AEAEBBB25E_13</vt:lpwstr>
  </property>
  <property fmtid="{D5CDD505-2E9C-101B-9397-08002B2CF9AE}" pid="4" name="KSOTemplateDocerSaveRecord">
    <vt:lpwstr>eyJoZGlkIjoiZDEyMWQyNjlmMThmMmQ1NTk1ZjVlZTFmOTIzMDA1ZmUiLCJ1c2VySWQiOiIyNjY5NzcxNTQifQ==</vt:lpwstr>
  </property>
</Properties>
</file>