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版本号：HRC-ZBDL-01361.1B120260318001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韩城市2024年度省级林业草原改革发展资金森林植被恢复项目(二次)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HRC-ZBDL-01361.1B1</w:t>
      </w:r>
      <w:r>
        <w:br/>
      </w:r>
      <w:r>
        <w:br/>
      </w:r>
      <w:r>
        <w:br/>
      </w:r>
    </w:p>
    <w:p>
      <w:pPr>
        <w:pStyle w:val="null3"/>
        <w:jc w:val="center"/>
        <w:outlineLvl w:val="2"/>
      </w:pPr>
      <w:r>
        <w:rPr>
          <w:rFonts w:ascii="仿宋_GB2312" w:hAnsi="仿宋_GB2312" w:cs="仿宋_GB2312" w:eastAsia="仿宋_GB2312"/>
          <w:sz w:val="28"/>
          <w:b/>
        </w:rPr>
        <w:t>韩城市林业局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韩城市林业局</w:t>
      </w:r>
      <w:r>
        <w:rPr>
          <w:rFonts w:ascii="仿宋_GB2312" w:hAnsi="仿宋_GB2312" w:cs="仿宋_GB2312" w:eastAsia="仿宋_GB2312"/>
        </w:rPr>
        <w:t>委托，拟对</w:t>
      </w:r>
      <w:r>
        <w:rPr>
          <w:rFonts w:ascii="仿宋_GB2312" w:hAnsi="仿宋_GB2312" w:cs="仿宋_GB2312" w:eastAsia="仿宋_GB2312"/>
        </w:rPr>
        <w:t>韩城市2024年度省级林业草原改革发展资金森林植被恢复项目(二次)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HRC-ZBDL-01361.1B1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韩城市2024年度省级林业草原改革发展资金森林植被恢复项目(二次)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该项目拟在西庄镇楼枝村前磊山体实施困难立地人工造林，作业区总面积359亩，可作业面积300亩，涉及一个作业区2个小班，栽植 0.8-1.2米侧柏 18000株、0.8-1.2米白皮松 7500株，共计 25500株。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采购包1（韩城市2024年度省级林业草原改革发展资金森林植被恢复项目）：属于专门面向中小企业采购。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2、信誉：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韩城市新城区太史大街政府1号楼四楼东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韩城市林木种苗站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0913—5200176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冯延平 、张静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韩城市财政局政府采购管理股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采购包1：880,997.00元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说明：供应商与采购人开通共管账户，将履约保证金转入共管账户。初验完成后，无息退还。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 (计价格[2002]1980号) 和(发改办价格[2003]857号) 中工程类收费收取，供应商在领取成交通知书时向招标代理机构一次性交纳。 采购代理服务费缴纳账号： 账户名称：华睿诚项目管理有限公司 开户行名称：西安银行股份有限公司小寨东路支行 账 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联系人：冯延平</w:t>
      </w:r>
    </w:p>
    <w:p>
      <w:pPr>
        <w:pStyle w:val="null3"/>
      </w:pPr>
      <w:r>
        <w:rPr>
          <w:rFonts w:ascii="仿宋_GB2312" w:hAnsi="仿宋_GB2312" w:cs="仿宋_GB2312" w:eastAsia="仿宋_GB2312"/>
        </w:rPr>
        <w:t>联系电话：029-85393806/18292091387</w:t>
      </w:r>
    </w:p>
    <w:p>
      <w:pPr>
        <w:pStyle w:val="null3"/>
      </w:pPr>
      <w:r>
        <w:rPr>
          <w:rFonts w:ascii="仿宋_GB2312" w:hAnsi="仿宋_GB2312" w:cs="仿宋_GB2312" w:eastAsia="仿宋_GB2312"/>
        </w:rPr>
        <w:t>地址：西安市曲江新区雁翔路3269号【旺座曲江】E座29-30层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880,997.00</w:t>
      </w:r>
    </w:p>
    <w:p>
      <w:pPr>
        <w:pStyle w:val="null3"/>
      </w:pPr>
      <w:r>
        <w:rPr>
          <w:rFonts w:ascii="仿宋_GB2312" w:hAnsi="仿宋_GB2312" w:cs="仿宋_GB2312" w:eastAsia="仿宋_GB2312"/>
        </w:rPr>
        <w:t>采购包最高限价（元）: 880,997.00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韩城市2024年度省级林业草原改革发展资金森林植被恢复项目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880,997.00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标的名称：韩城市2024年度省级林业草原改革发展资金森林植被恢复项目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1、前期准备</w:t>
            </w:r>
          </w:p>
          <w:p>
            <w:pPr>
              <w:pStyle w:val="null3"/>
              <w:spacing w:before="30" w:after="30"/>
              <w:ind w:firstLine="604"/>
              <w:jc w:val="both"/>
            </w:pPr>
            <w:r>
              <w:rPr>
                <w:rFonts w:ascii="仿宋_GB2312" w:hAnsi="仿宋_GB2312" w:cs="仿宋_GB2312" w:eastAsia="仿宋_GB2312"/>
                <w:sz w:val="21"/>
              </w:rPr>
              <w:t>（1）现地勘查</w:t>
            </w:r>
          </w:p>
          <w:p>
            <w:pPr>
              <w:pStyle w:val="null3"/>
              <w:spacing w:before="30" w:after="30"/>
              <w:ind w:firstLine="604"/>
              <w:jc w:val="both"/>
            </w:pPr>
            <w:r>
              <w:rPr>
                <w:rFonts w:ascii="仿宋_GB2312" w:hAnsi="仿宋_GB2312" w:cs="仿宋_GB2312" w:eastAsia="仿宋_GB2312"/>
                <w:sz w:val="21"/>
              </w:rPr>
              <w:t>对造林区域进行详细勘查，了解地形地貌、岩石分布、土壤条件等。确定可进行挖石客土的具体范围和潜在难点。</w:t>
            </w:r>
          </w:p>
          <w:p>
            <w:pPr>
              <w:pStyle w:val="null3"/>
              <w:spacing w:before="30" w:after="30"/>
              <w:ind w:firstLine="604"/>
              <w:jc w:val="both"/>
            </w:pPr>
            <w:r>
              <w:rPr>
                <w:rFonts w:ascii="仿宋_GB2312" w:hAnsi="仿宋_GB2312" w:cs="仿宋_GB2312" w:eastAsia="仿宋_GB2312"/>
                <w:sz w:val="21"/>
              </w:rPr>
              <w:t>分析当地气候条件、水源情况，为后续树种选择和养护措施提供依据。</w:t>
            </w:r>
          </w:p>
          <w:p>
            <w:pPr>
              <w:pStyle w:val="null3"/>
              <w:spacing w:before="30" w:after="30"/>
              <w:ind w:firstLine="604"/>
              <w:jc w:val="both"/>
            </w:pPr>
            <w:r>
              <w:rPr>
                <w:rFonts w:ascii="仿宋_GB2312" w:hAnsi="仿宋_GB2312" w:cs="仿宋_GB2312" w:eastAsia="仿宋_GB2312"/>
                <w:sz w:val="21"/>
              </w:rPr>
              <w:t>（2）树种选择</w:t>
            </w:r>
          </w:p>
          <w:p>
            <w:pPr>
              <w:pStyle w:val="null3"/>
              <w:spacing w:before="30" w:after="30"/>
              <w:ind w:firstLine="604"/>
              <w:jc w:val="both"/>
            </w:pPr>
            <w:r>
              <w:rPr>
                <w:rFonts w:ascii="仿宋_GB2312" w:hAnsi="仿宋_GB2312" w:cs="仿宋_GB2312" w:eastAsia="仿宋_GB2312"/>
                <w:sz w:val="21"/>
              </w:rPr>
              <w:t>选择适合当地气候和土壤条件的树种，优先考虑耐旱、耐贫瘠、适应性强的品种。</w:t>
            </w:r>
          </w:p>
          <w:p>
            <w:pPr>
              <w:pStyle w:val="null3"/>
              <w:spacing w:before="30" w:after="30"/>
              <w:ind w:firstLine="604"/>
              <w:jc w:val="both"/>
            </w:pPr>
            <w:r>
              <w:rPr>
                <w:rFonts w:ascii="仿宋_GB2312" w:hAnsi="仿宋_GB2312" w:cs="仿宋_GB2312" w:eastAsia="仿宋_GB2312"/>
                <w:sz w:val="21"/>
              </w:rPr>
              <w:t>考虑树种的生态功能和经济价值，如保持水土、净化空气、提供木材等。</w:t>
            </w:r>
          </w:p>
          <w:p>
            <w:pPr>
              <w:pStyle w:val="null3"/>
              <w:spacing w:before="30" w:after="30"/>
              <w:ind w:firstLine="604"/>
              <w:jc w:val="both"/>
            </w:pPr>
            <w:r>
              <w:rPr>
                <w:rFonts w:ascii="仿宋_GB2312" w:hAnsi="仿宋_GB2312" w:cs="仿宋_GB2312" w:eastAsia="仿宋_GB2312"/>
                <w:sz w:val="21"/>
              </w:rPr>
              <w:t>（3）物资准备</w:t>
            </w:r>
          </w:p>
          <w:p>
            <w:pPr>
              <w:pStyle w:val="null3"/>
              <w:spacing w:before="30" w:after="30"/>
              <w:ind w:firstLine="604"/>
              <w:jc w:val="both"/>
            </w:pPr>
            <w:r>
              <w:rPr>
                <w:rFonts w:ascii="仿宋_GB2312" w:hAnsi="仿宋_GB2312" w:cs="仿宋_GB2312" w:eastAsia="仿宋_GB2312"/>
                <w:sz w:val="21"/>
              </w:rPr>
              <w:t>准备挖掘工具，如电动挖掘工具、铁锹等。</w:t>
            </w:r>
          </w:p>
          <w:p>
            <w:pPr>
              <w:pStyle w:val="null3"/>
              <w:spacing w:before="30" w:after="30"/>
              <w:ind w:firstLine="604"/>
              <w:jc w:val="both"/>
            </w:pPr>
            <w:r>
              <w:rPr>
                <w:rFonts w:ascii="仿宋_GB2312" w:hAnsi="仿宋_GB2312" w:cs="仿宋_GB2312" w:eastAsia="仿宋_GB2312"/>
                <w:sz w:val="21"/>
              </w:rPr>
              <w:t>准备运输工具，用于运送客土。</w:t>
            </w:r>
          </w:p>
          <w:p>
            <w:pPr>
              <w:pStyle w:val="null3"/>
              <w:spacing w:before="30" w:after="30"/>
              <w:ind w:firstLine="604"/>
              <w:jc w:val="both"/>
            </w:pPr>
            <w:r>
              <w:rPr>
                <w:rFonts w:ascii="仿宋_GB2312" w:hAnsi="仿宋_GB2312" w:cs="仿宋_GB2312" w:eastAsia="仿宋_GB2312"/>
                <w:sz w:val="21"/>
              </w:rPr>
              <w:t>准备足够的优质客土，客土应具有良好的肥力和保水性。</w:t>
            </w:r>
          </w:p>
          <w:p>
            <w:pPr>
              <w:pStyle w:val="null3"/>
              <w:jc w:val="both"/>
              <w:outlineLvl w:val="2"/>
            </w:pPr>
            <w:r>
              <w:rPr>
                <w:rFonts w:ascii="仿宋_GB2312" w:hAnsi="仿宋_GB2312" w:cs="仿宋_GB2312" w:eastAsia="仿宋_GB2312"/>
                <w:sz w:val="21"/>
                <w:b/>
              </w:rPr>
              <w:t>2、</w:t>
            </w:r>
            <w:r>
              <w:rPr>
                <w:rFonts w:ascii="仿宋_GB2312" w:hAnsi="仿宋_GB2312" w:cs="仿宋_GB2312" w:eastAsia="仿宋_GB2312"/>
                <w:sz w:val="21"/>
                <w:b/>
              </w:rPr>
              <w:t>挖石客土作业措施</w:t>
            </w:r>
          </w:p>
          <w:p>
            <w:pPr>
              <w:pStyle w:val="null3"/>
              <w:jc w:val="both"/>
            </w:pPr>
            <w:r>
              <w:rPr>
                <w:rFonts w:ascii="仿宋_GB2312" w:hAnsi="仿宋_GB2312" w:cs="仿宋_GB2312" w:eastAsia="仿宋_GB2312"/>
                <w:sz w:val="21"/>
              </w:rPr>
              <w:t xml:space="preserve">     2.1挖石作业</w:t>
            </w:r>
          </w:p>
          <w:p>
            <w:pPr>
              <w:pStyle w:val="null3"/>
              <w:spacing w:before="30" w:after="30"/>
              <w:ind w:firstLine="604"/>
              <w:jc w:val="both"/>
            </w:pPr>
            <w:r>
              <w:rPr>
                <w:rFonts w:ascii="仿宋_GB2312" w:hAnsi="仿宋_GB2312" w:cs="仿宋_GB2312" w:eastAsia="仿宋_GB2312"/>
                <w:sz w:val="21"/>
              </w:rPr>
              <w:t>（1）清理造林地</w:t>
            </w:r>
          </w:p>
          <w:p>
            <w:pPr>
              <w:pStyle w:val="null3"/>
              <w:spacing w:before="30" w:after="30"/>
              <w:ind w:firstLine="604"/>
              <w:jc w:val="both"/>
            </w:pPr>
            <w:r>
              <w:rPr>
                <w:rFonts w:ascii="仿宋_GB2312" w:hAnsi="仿宋_GB2312" w:cs="仿宋_GB2312" w:eastAsia="仿宋_GB2312"/>
                <w:sz w:val="21"/>
              </w:rPr>
              <w:t>清除造林区域内的杂草、灌木和乱石，为挖石作业创造条件。对较大的石块进行初步清理，可集中堆放以便后续利用。</w:t>
            </w:r>
          </w:p>
          <w:p>
            <w:pPr>
              <w:pStyle w:val="null3"/>
              <w:spacing w:before="30" w:after="30"/>
              <w:ind w:firstLine="604"/>
              <w:jc w:val="both"/>
            </w:pPr>
            <w:r>
              <w:rPr>
                <w:rFonts w:ascii="仿宋_GB2312" w:hAnsi="仿宋_GB2312" w:cs="仿宋_GB2312" w:eastAsia="仿宋_GB2312"/>
                <w:sz w:val="21"/>
              </w:rPr>
              <w:t>（2）挖掘岩石</w:t>
            </w:r>
          </w:p>
          <w:p>
            <w:pPr>
              <w:pStyle w:val="null3"/>
              <w:spacing w:before="30" w:after="30"/>
              <w:ind w:firstLine="604"/>
              <w:jc w:val="both"/>
            </w:pPr>
            <w:r>
              <w:rPr>
                <w:rFonts w:ascii="仿宋_GB2312" w:hAnsi="仿宋_GB2312" w:cs="仿宋_GB2312" w:eastAsia="仿宋_GB2312"/>
                <w:sz w:val="21"/>
              </w:rPr>
              <w:t>根据设计要求，使用挖掘工具挖掘岩石，形成合适的种植坑。注意控制挖掘深度和宽度，确保种植坑的大小能够满足树种生长需求。</w:t>
            </w:r>
          </w:p>
          <w:p>
            <w:pPr>
              <w:pStyle w:val="null3"/>
              <w:spacing w:before="30" w:after="30"/>
              <w:ind w:firstLine="604"/>
              <w:jc w:val="both"/>
            </w:pPr>
            <w:r>
              <w:rPr>
                <w:rFonts w:ascii="仿宋_GB2312" w:hAnsi="仿宋_GB2312" w:cs="仿宋_GB2312" w:eastAsia="仿宋_GB2312"/>
                <w:sz w:val="21"/>
              </w:rPr>
              <w:t>（3）整理坑底</w:t>
            </w:r>
          </w:p>
          <w:p>
            <w:pPr>
              <w:pStyle w:val="null3"/>
              <w:spacing w:before="30" w:after="30"/>
              <w:ind w:firstLine="560"/>
              <w:jc w:val="both"/>
            </w:pPr>
            <w:r>
              <w:rPr>
                <w:rFonts w:ascii="仿宋_GB2312" w:hAnsi="仿宋_GB2312" w:cs="仿宋_GB2312" w:eastAsia="仿宋_GB2312"/>
                <w:sz w:val="21"/>
              </w:rPr>
              <w:t>将种植坑底的岩石碎片清理干净，确保坑底平整。对坑底进行适当夯实，防止客土下沉。</w:t>
            </w:r>
          </w:p>
          <w:p>
            <w:pPr>
              <w:pStyle w:val="null3"/>
              <w:jc w:val="both"/>
              <w:outlineLvl w:val="2"/>
            </w:pPr>
            <w:r>
              <w:rPr>
                <w:rFonts w:ascii="仿宋_GB2312" w:hAnsi="仿宋_GB2312" w:cs="仿宋_GB2312" w:eastAsia="仿宋_GB2312"/>
                <w:sz w:val="21"/>
                <w:b/>
              </w:rPr>
              <w:t xml:space="preserve">    2.2客土填充</w:t>
            </w:r>
          </w:p>
          <w:p>
            <w:pPr>
              <w:pStyle w:val="null3"/>
              <w:spacing w:before="30" w:after="30"/>
              <w:ind w:firstLine="560"/>
              <w:jc w:val="both"/>
            </w:pPr>
            <w:r>
              <w:rPr>
                <w:rFonts w:ascii="仿宋_GB2312" w:hAnsi="仿宋_GB2312" w:cs="仿宋_GB2312" w:eastAsia="仿宋_GB2312"/>
                <w:sz w:val="21"/>
              </w:rPr>
              <w:t>（1）运输客土</w:t>
            </w:r>
          </w:p>
          <w:p>
            <w:pPr>
              <w:pStyle w:val="null3"/>
              <w:spacing w:before="30" w:after="30"/>
              <w:ind w:firstLine="560"/>
              <w:jc w:val="both"/>
            </w:pPr>
            <w:r>
              <w:rPr>
                <w:rFonts w:ascii="仿宋_GB2312" w:hAnsi="仿宋_GB2312" w:cs="仿宋_GB2312" w:eastAsia="仿宋_GB2312"/>
                <w:sz w:val="21"/>
              </w:rPr>
              <w:t>将准备好的客土运输到造林区域，采用合理的运输方式，减少土源浪费和运输成本。</w:t>
            </w:r>
          </w:p>
          <w:p>
            <w:pPr>
              <w:pStyle w:val="null3"/>
              <w:spacing w:before="30" w:after="30"/>
              <w:ind w:firstLine="604"/>
              <w:jc w:val="both"/>
            </w:pPr>
            <w:r>
              <w:rPr>
                <w:rFonts w:ascii="仿宋_GB2312" w:hAnsi="仿宋_GB2312" w:cs="仿宋_GB2312" w:eastAsia="仿宋_GB2312"/>
                <w:sz w:val="21"/>
              </w:rPr>
              <w:t>（2）填充种植坑</w:t>
            </w:r>
          </w:p>
          <w:p>
            <w:pPr>
              <w:pStyle w:val="null3"/>
              <w:spacing w:before="30" w:after="30"/>
              <w:ind w:firstLine="604"/>
              <w:jc w:val="both"/>
            </w:pPr>
            <w:r>
              <w:rPr>
                <w:rFonts w:ascii="仿宋_GB2312" w:hAnsi="仿宋_GB2312" w:cs="仿宋_GB2312" w:eastAsia="仿宋_GB2312"/>
                <w:sz w:val="21"/>
              </w:rPr>
              <w:t>将客土均匀填充到种植坑中，填充高度应略高于周围地面，以便浇水后沉降。对客土进行适当压实，增加土壤的密实度。</w:t>
            </w:r>
          </w:p>
          <w:p>
            <w:pPr>
              <w:pStyle w:val="null3"/>
              <w:jc w:val="both"/>
              <w:outlineLvl w:val="2"/>
            </w:pPr>
            <w:r>
              <w:rPr>
                <w:rFonts w:ascii="仿宋_GB2312" w:hAnsi="仿宋_GB2312" w:cs="仿宋_GB2312" w:eastAsia="仿宋_GB2312"/>
                <w:sz w:val="21"/>
                <w:b/>
              </w:rPr>
              <w:t>3、</w:t>
            </w:r>
            <w:r>
              <w:rPr>
                <w:rFonts w:ascii="仿宋_GB2312" w:hAnsi="仿宋_GB2312" w:cs="仿宋_GB2312" w:eastAsia="仿宋_GB2312"/>
                <w:sz w:val="21"/>
                <w:b/>
              </w:rPr>
              <w:t>造林技术措施</w:t>
            </w:r>
          </w:p>
          <w:p>
            <w:pPr>
              <w:pStyle w:val="null3"/>
              <w:ind w:firstLine="560"/>
              <w:jc w:val="both"/>
            </w:pPr>
            <w:r>
              <w:rPr>
                <w:rFonts w:ascii="仿宋_GB2312" w:hAnsi="仿宋_GB2312" w:cs="仿宋_GB2312" w:eastAsia="仿宋_GB2312"/>
                <w:sz w:val="21"/>
              </w:rPr>
              <w:t>（1）筑坑：项目区绝大部分为石质山地，坡度较大，造林难度较大。对于石质山地或坡度较大的地块，首先利用人工方式按照株行距3*3米的规格开挖0.6*0.5*0.4米的规格的大坑，然后利用石块修筑成半月牙型的鱼鳞坑，然后进行客土栽植，栽植时，每株施用30克的抗旱保水剂。对于挖出的石头可以与山下运输的土壤混在一起围成环状高10-20cm的围堰或雨洪截留坡，以便于苗木蓄水。</w:t>
            </w:r>
          </w:p>
          <w:p>
            <w:pPr>
              <w:pStyle w:val="null3"/>
              <w:ind w:firstLine="560"/>
              <w:jc w:val="both"/>
            </w:pPr>
            <w:r>
              <w:rPr>
                <w:rFonts w:ascii="仿宋_GB2312" w:hAnsi="仿宋_GB2312" w:cs="仿宋_GB2312" w:eastAsia="仿宋_GB2312"/>
                <w:sz w:val="21"/>
              </w:rPr>
              <w:t>（2）种苗：苗木选择必须严格执行GB6000-1999《主要造林树种苗木质量分级》，确保苗木使用程序化、规范化、标准化。要求必须是充分木质化，经检疫无病虫害，无失水现象，无腐烂发霉现象，无机械损伤的苗木。</w:t>
            </w:r>
          </w:p>
          <w:p>
            <w:pPr>
              <w:pStyle w:val="null3"/>
              <w:ind w:firstLine="560"/>
              <w:jc w:val="both"/>
            </w:pPr>
            <w:r>
              <w:rPr>
                <w:rFonts w:ascii="仿宋_GB2312" w:hAnsi="仿宋_GB2312" w:cs="仿宋_GB2312" w:eastAsia="仿宋_GB2312"/>
                <w:sz w:val="21"/>
              </w:rPr>
              <w:t>造林必须选用GB 6000规定的Ⅰ、Ⅱ级以上苗木。苗木质量的检验、起苗、包装、运输和贮藏等执行GB 6000和LY 1000的规定。为保证造林成活率，要求所用苗木带土球或为容器苗。</w:t>
            </w:r>
          </w:p>
          <w:p>
            <w:pPr>
              <w:pStyle w:val="null3"/>
              <w:ind w:firstLine="560"/>
              <w:jc w:val="both"/>
            </w:pPr>
            <w:r>
              <w:rPr>
                <w:rFonts w:ascii="仿宋_GB2312" w:hAnsi="仿宋_GB2312" w:cs="仿宋_GB2312" w:eastAsia="仿宋_GB2312"/>
                <w:sz w:val="21"/>
              </w:rPr>
              <w:t>考虑到项目区气候、各地块的立地条件以及景观需求，根据以往造林经验，本项目拟选择主要造林苗木规格参考如下：</w:t>
            </w:r>
          </w:p>
          <w:p>
            <w:pPr>
              <w:pStyle w:val="null3"/>
              <w:ind w:firstLine="560"/>
              <w:jc w:val="both"/>
            </w:pPr>
            <w:r>
              <w:rPr>
                <w:rFonts w:ascii="仿宋_GB2312" w:hAnsi="仿宋_GB2312" w:cs="仿宋_GB2312" w:eastAsia="仿宋_GB2312"/>
                <w:sz w:val="21"/>
              </w:rPr>
              <w:t>侧柏:两年生以上容器苗，地径≥2.0cm，苗高0.8-1.2米；</w:t>
            </w:r>
          </w:p>
          <w:p>
            <w:pPr>
              <w:pStyle w:val="null3"/>
              <w:ind w:firstLine="560"/>
              <w:jc w:val="both"/>
            </w:pPr>
            <w:r>
              <w:rPr>
                <w:rFonts w:ascii="仿宋_GB2312" w:hAnsi="仿宋_GB2312" w:cs="仿宋_GB2312" w:eastAsia="仿宋_GB2312"/>
                <w:sz w:val="21"/>
              </w:rPr>
              <w:t>白皮松：三年生以上容器苗，地径≥1.5cm，苗高0.8-1.2米。</w:t>
            </w:r>
          </w:p>
          <w:p>
            <w:pPr>
              <w:pStyle w:val="null3"/>
              <w:ind w:firstLine="638"/>
            </w:pPr>
            <w:r>
              <w:rPr>
                <w:rFonts w:ascii="仿宋_GB2312" w:hAnsi="仿宋_GB2312" w:cs="仿宋_GB2312" w:eastAsia="仿宋_GB2312"/>
                <w:sz w:val="21"/>
              </w:rPr>
              <w:t>（3）栽植：配置方式设计为三角型配置，对于地形破碎、变化复杂的地方栽植点的位置可灵活掌握，应不拘于株行距的规定，但要保证单位面积栽植点的数量。要求专业施工队栽植，运苗上山时要注意保护土球，栽植前需要去除根系不宜穿透或不易分解的包装物，栽植前可在栽植穴中撒入适量保水剂。栽植深度要适宜，带土球苗木要求覆土至土球以上20-40厘米。</w:t>
            </w:r>
          </w:p>
          <w:p>
            <w:pPr>
              <w:pStyle w:val="null3"/>
              <w:ind w:firstLine="638"/>
              <w:jc w:val="both"/>
            </w:pPr>
            <w:r>
              <w:rPr>
                <w:rFonts w:ascii="仿宋_GB2312" w:hAnsi="仿宋_GB2312" w:cs="仿宋_GB2312" w:eastAsia="仿宋_GB2312"/>
                <w:sz w:val="21"/>
              </w:rPr>
              <w:t>(4)浇水：苗木栽植后应及时浇足、浇透定根水。有水源地方可就近取水，无水源的地方需结合地形建设蓄水池，根据水源距离采取多级取水，水流要细而缓，均匀流入坑穴内，水完全侵入土壤后在覆土。考虑该区域常年风沙大，土层薄，栽植完成后第一年，高温季节，7-9月份，每月浇水1次，秋冬季根据天气情况浇水2-3次，冬灌1次，第二年春灌1次，春季2-3次。每次浇水都要细水慢浇、浇足浇透。</w:t>
            </w:r>
          </w:p>
          <w:p>
            <w:pPr>
              <w:pStyle w:val="null3"/>
              <w:ind w:firstLine="638"/>
              <w:jc w:val="both"/>
            </w:pPr>
            <w:r>
              <w:rPr>
                <w:rFonts w:ascii="仿宋_GB2312" w:hAnsi="仿宋_GB2312" w:cs="仿宋_GB2312" w:eastAsia="仿宋_GB2312"/>
                <w:sz w:val="21"/>
              </w:rPr>
              <w:t>（5）成活率调查与补植</w:t>
            </w:r>
          </w:p>
          <w:p>
            <w:pPr>
              <w:pStyle w:val="null3"/>
              <w:ind w:firstLine="638"/>
              <w:jc w:val="both"/>
            </w:pPr>
            <w:r>
              <w:rPr>
                <w:rFonts w:ascii="仿宋_GB2312" w:hAnsi="仿宋_GB2312" w:cs="仿宋_GB2312" w:eastAsia="仿宋_GB2312"/>
                <w:sz w:val="21"/>
              </w:rPr>
              <w:t xml:space="preserve"> 成活率调查应在新造幼林经过一个生长季节后进行，春季造林成活率调查时间在当年秋季进行，秋季造林成活率调查时间在次年秋季进行。调查方法是在当年所有造林小班内选设具有代表性的标准地，分别计数成活与死亡株数。调查结果分别按成活率85%以上、41-84%、41%队下三级统计。成活率在41%以下的必须重新造林，成活率在41-84%的必须及时进行补植。（根据造林地立地条件及树种选择的实际情况，补植量按初植密度的15%概算）</w:t>
            </w:r>
          </w:p>
          <w:p>
            <w:pPr>
              <w:pStyle w:val="null3"/>
              <w:ind w:firstLine="638"/>
              <w:jc w:val="both"/>
            </w:pPr>
            <w:r>
              <w:rPr>
                <w:rFonts w:ascii="仿宋_GB2312" w:hAnsi="仿宋_GB2312" w:cs="仿宋_GB2312" w:eastAsia="仿宋_GB2312"/>
                <w:sz w:val="21"/>
              </w:rPr>
              <w:t>（6）幼林抚育</w:t>
            </w:r>
          </w:p>
          <w:p>
            <w:pPr>
              <w:pStyle w:val="null3"/>
              <w:ind w:firstLine="638"/>
              <w:jc w:val="both"/>
            </w:pPr>
            <w:r>
              <w:rPr>
                <w:rFonts w:ascii="仿宋_GB2312" w:hAnsi="仿宋_GB2312" w:cs="仿宋_GB2312" w:eastAsia="仿宋_GB2312"/>
                <w:sz w:val="21"/>
              </w:rPr>
              <w:t>幼林抚育是指在造林后至郁闭前这一段时间里所进行的各种技术措施。新造幼林一般要经历缓苗、扎根、生长并逐步进入速生的过程，对以后林木快速生长影响极大。幼林抚育的根本任务在于逼过松土、除草、扩穴等改善土壤理化性质，满足幼树对水、肥、气、光、热的要求，给幼苗幼树创造一个良好的生长环境。</w:t>
            </w:r>
          </w:p>
          <w:p>
            <w:pPr>
              <w:pStyle w:val="null3"/>
              <w:ind w:firstLine="638"/>
              <w:jc w:val="both"/>
            </w:pPr>
            <w:r>
              <w:rPr>
                <w:rFonts w:ascii="仿宋_GB2312" w:hAnsi="仿宋_GB2312" w:cs="仿宋_GB2312" w:eastAsia="仿宋_GB2312"/>
                <w:sz w:val="21"/>
              </w:rPr>
              <w:t>造林后3年内进行抚育5次（以2-2-1为序），抚育的主要内容是松土、除草、扩穴、培土、砍灌、整枝等工序。</w:t>
            </w:r>
          </w:p>
          <w:p>
            <w:pPr>
              <w:pStyle w:val="null3"/>
              <w:ind w:firstLine="638"/>
              <w:jc w:val="both"/>
            </w:pPr>
            <w:r>
              <w:rPr>
                <w:rFonts w:ascii="仿宋_GB2312" w:hAnsi="仿宋_GB2312" w:cs="仿宋_GB2312" w:eastAsia="仿宋_GB2312"/>
                <w:sz w:val="21"/>
              </w:rPr>
              <w:t>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w:t>
            </w:r>
          </w:p>
          <w:p>
            <w:pPr>
              <w:pStyle w:val="null3"/>
              <w:ind w:firstLine="638"/>
            </w:pPr>
            <w:r>
              <w:rPr>
                <w:rFonts w:ascii="仿宋_GB2312" w:hAnsi="仿宋_GB2312" w:cs="仿宋_GB2312" w:eastAsia="仿宋_GB2312"/>
                <w:sz w:val="21"/>
              </w:rPr>
              <w:t>（7）幼林管护</w:t>
            </w:r>
          </w:p>
          <w:p>
            <w:pPr>
              <w:pStyle w:val="null3"/>
            </w:pPr>
            <w:r>
              <w:rPr>
                <w:rFonts w:ascii="仿宋_GB2312" w:hAnsi="仿宋_GB2312" w:cs="仿宋_GB2312" w:eastAsia="仿宋_GB2312"/>
                <w:sz w:val="21"/>
              </w:rPr>
              <w:t xml:space="preserve">    作业区设立专职或兼职护林员，严禁在造林项目区附近烧荒，严禁牛、羊进入造林地块对幼苗幼树造成破坏，确保新造林及时郁闭成林。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本项目实施单位为：韩城市林木种苗站，后续合同签订和执行均由实施单位承办。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响应函》完成承诺并进行电子签章。供应商须为合法注册的法人、其他组织或者自然人，并具有独立承担民事责任的能力，且具备向采购人提供相关服务的能力；提供统一社会信用代码的营业执照（或事业法人证、自然人身份证）等合法证明文件；（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)（3）社会保障资金缴纳证明：提供截止至磋商时间前一年内任意1个月的社会保障资金缴存单据或社保机构开具的社会保险参保缴费情况证明，依法不需要缴纳社会保障资金的单位应提供相关证明材料。 （4）税收缴纳证明：提供截止至磋商时间前一年内任意1个月的纳税证明或完税证明，纳税证明或完税证明上应有代收机构或税务机关的公章或业务专用章。依法免税的供应商应提供相关文件证明。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投标文件的签章均符合招标文件要求，且无遗漏。</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；（2）报价符合唯一性要求； （3）未超出采购预算或最高限价 ；（4）符合《开标一览表》、《分项报价表》及《标的清单》的填报要求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完全理解并接受招标文件《合同文本》条款的要求，且未有采购人不能接受的附加条件的。</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项目总体施工方案</w:t>
            </w:r>
          </w:p>
        </w:tc>
        <w:tc>
          <w:tcPr>
            <w:tcW w:type="dxa" w:w="2492"/>
          </w:tcPr>
          <w:p>
            <w:pPr>
              <w:pStyle w:val="null3"/>
            </w:pPr>
            <w:r>
              <w:rPr>
                <w:rFonts w:ascii="仿宋_GB2312" w:hAnsi="仿宋_GB2312" w:cs="仿宋_GB2312" w:eastAsia="仿宋_GB2312"/>
              </w:rPr>
              <w:t>一、评审内容 针对本项目提供完整详细的项目实施方案。内容包含:1项目总实施计划2供货组织安排3具体实施及验收方案4物力调配及保障措施。 二、评审标准 1、完整性:方案须全面，对评审内容中的各项要求有详细描述;2、可实施性:切合本项目实际情况，实施步骤清晰、合理;3、针对性:方案能够紧扣项目实际情况，内容科学合理。 三、赋分依据(满分12分) 1项目总实施计划:每完全满足一个评审标准得1分，满分3分: 2供货组织安排:每完全满足一个评审标准得1分，满分3分; 3具体实施及验收方案:每完全满足一个评审标准得1分，满分3分; 4物力调配及保障措施:每完全满足一个评审标准得1分，满分3分；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拟派项目负责人具有林业相关中级职称及以上职称3分；人员配备合理、工种齐全、职位分明并提供人员相关证明材料。人员安排工种齐全、配置合理、满足施工要求，得 5分，配置基本合理、满足基本施工要求，得3分；配置不合理得1分；未提供相关内容的不得分。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一、评审内容 根据项目实际需求，提供质量保证方案。内容包含:1质量保证措施2应急处理方案。 二、评审标准 1、完整性:方案须全面，对评审内容中的各项要求有详细描述;2、可实施性:切合本项目实际情况，实施步骤清晰、合理;3、针对性:方案能够紧扣项目实际情况，内容科学合理。 三、赋分依据(满分6分) 1质量保证措施:每完全满足一个评审标准得1分，满分3分;2应急处理方案:每完全满足一个评审标准得1分，满分3分。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总工期满足磋商文件要求，1.有压缩节点工期分析；2.有补救延误工期的措施；3.有确保总工期的技术组织措施。 二、评审标准 1、完整性:方案须全面，对评审内容中的各项要求有详细描述;2、可实施性:切合本项目实际情况，实施步骤清晰、合理;3、针对性:方案能够紧扣项目实际情况，4.内容科学合理。 三赋分依据（满分12分） 1.压缩节点工期分析:每完全满足一个评审标准得1分，满分4分: 2有补救延误工期的措施:每完全满足一个评审标准得1分，满分4分; 3有确保总工期的技术组织措施:每完全满足一个评审标准得1分，满分4分;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确保安全文明降低环境污染的技术组织措施</w:t>
            </w:r>
          </w:p>
        </w:tc>
        <w:tc>
          <w:tcPr>
            <w:tcW w:type="dxa" w:w="2492"/>
          </w:tcPr>
          <w:p>
            <w:pPr>
              <w:pStyle w:val="null3"/>
            </w:pPr>
            <w:r>
              <w:rPr>
                <w:rFonts w:ascii="仿宋_GB2312" w:hAnsi="仿宋_GB2312" w:cs="仿宋_GB2312" w:eastAsia="仿宋_GB2312"/>
              </w:rPr>
              <w:t>一、评审内容 针对本项目编制具体可行的安全文明施工措施。内容包含:1施工现场环境保护措施2文明施工及安全防护措施。二、评审标准 1、完整性:方案必须全面，对评审内容中的各项要求有详细描述;2、可实施性:切合本项目实际情况，实施步骤清晰、合理;3、针对性:方案能够紧扣项目实际情况，内容科学合理。 三、赋分依据(满分6分) 1施工现场环境保护措施:每完全满足一个评审标准得1分，满分3分; 2文明施工及安全防护措施:每完全满足一个评审标准得1分，满分3分。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反季节栽植方案</w:t>
            </w:r>
          </w:p>
        </w:tc>
        <w:tc>
          <w:tcPr>
            <w:tcW w:type="dxa" w:w="2492"/>
          </w:tcPr>
          <w:p>
            <w:pPr>
              <w:pStyle w:val="null3"/>
            </w:pPr>
            <w:r>
              <w:rPr>
                <w:rFonts w:ascii="仿宋_GB2312" w:hAnsi="仿宋_GB2312" w:cs="仿宋_GB2312" w:eastAsia="仿宋_GB2312"/>
              </w:rPr>
              <w:t>一、评审内容 根据项目需要编制相关反季节栽种的方案，1.有反季节栽种难点分析；2.有反季节栽种的措施。 二、评审标准 1、完整性:方案须全面，对评审内容中的各项要求有详细描述;2、可实施性:切合本项目实际情况，实施步骤清晰、合理;3、针对性:方案能够紧扣项目实际情况，4.内容科学合理。 三赋分依据（满分5分） 1.反季节栽种方案详细完全满足得5分；基本满足得3分；方案简单得2分；方案有缺漏得1分；未提供不得分。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一、评审内容 根据项目需要编制相关养护的方案，1.有养护难点分析；2.有养护的措施。 二、评审标准 1、完整性:方案须全面，对评审内容中的各项要求有详细描述;2、可实施性:切合本项目实际情况，实施步骤清晰、合理;3、针对性:方案能够紧扣项目实际情况，4.内容科学合理。 三赋分依据（满分5分） 1.养护方案详细完全满足得5分；基本满足得3分；方案简单得2分；方案有缺漏得1分；未提供不得分。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根据项目实际需求提供售后服务方案。内容包含:1售后服务范围及保障措施2响应时间3响应方式4故障处理及补救措施。 二、评审标准 1.完整性:方案须全面，对评审内容中的各项要求有详细描述;2.可实施性:切合本项目实际情况，实施步骤清晰、合理;3.针对性:方案能够紧扣项目实际情况，内容科学合理。 三、赋分依据(满分6分) 1售后服务范围及保障措施:每完全满足一个评审标准得0.5分，满分1.5分;2响应时间:每完全满足一个评审标准得0.5分，满分1.5分;3响应方式:每完全满足一个评审标准得0.5分，满分1.5分;4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供应商近年（2022年01月01日至今）类似项目业绩，提供中标通知书或合同（以中标通知书或合同签订时间为准） 每提供一个计得5分，满分10分。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磋商报价得分=（磋商基准价/最后磋商报价）×价格权值×100 依据《政府采购竞争性磋商采购方式管理暂行办法》的有关规定，将满足竞争性磋商文件要求且第二次（最终）磋商报价最低的供应商的价格为磋商基准价，其价格分为满分。因本项目为专门面向中小企业采购项目，小微企业不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