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版本号：HCXYR-2026-003.1B120260318001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农业投入品监管系统整市项目(二次)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HCXYR-2026-003.1B1</w:t>
      </w:r>
      <w:r>
        <w:br/>
      </w:r>
      <w:r>
        <w:br/>
      </w:r>
      <w:r>
        <w:br/>
      </w:r>
    </w:p>
    <w:p>
      <w:pPr>
        <w:pStyle w:val="null3"/>
        <w:jc w:val="center"/>
        <w:outlineLvl w:val="2"/>
      </w:pPr>
      <w:r>
        <w:rPr>
          <w:rFonts w:ascii="仿宋_GB2312" w:hAnsi="仿宋_GB2312" w:cs="仿宋_GB2312" w:eastAsia="仿宋_GB2312"/>
          <w:sz w:val="28"/>
          <w:b/>
        </w:rPr>
        <w:t>韩城市农业农村局</w:t>
      </w:r>
    </w:p>
    <w:p>
      <w:pPr>
        <w:pStyle w:val="null3"/>
        <w:jc w:val="center"/>
        <w:outlineLvl w:val="2"/>
      </w:pPr>
      <w:r>
        <w:rPr>
          <w:rFonts w:ascii="仿宋_GB2312" w:hAnsi="仿宋_GB2312" w:cs="仿宋_GB2312" w:eastAsia="仿宋_GB2312"/>
          <w:sz w:val="28"/>
          <w:b/>
        </w:rPr>
        <w:t>鑫益瑞建设工程有限公司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鑫益瑞建设工程有限公司</w:t>
      </w:r>
      <w:r>
        <w:rPr>
          <w:rFonts w:ascii="仿宋_GB2312" w:hAnsi="仿宋_GB2312" w:cs="仿宋_GB2312" w:eastAsia="仿宋_GB2312"/>
        </w:rPr>
        <w:t>（以下简称“代理机构”）受</w:t>
      </w:r>
      <w:r>
        <w:rPr>
          <w:rFonts w:ascii="仿宋_GB2312" w:hAnsi="仿宋_GB2312" w:cs="仿宋_GB2312" w:eastAsia="仿宋_GB2312"/>
        </w:rPr>
        <w:t>韩城市农业农村局</w:t>
      </w:r>
      <w:r>
        <w:rPr>
          <w:rFonts w:ascii="仿宋_GB2312" w:hAnsi="仿宋_GB2312" w:cs="仿宋_GB2312" w:eastAsia="仿宋_GB2312"/>
        </w:rPr>
        <w:t>委托，拟对</w:t>
      </w:r>
      <w:r>
        <w:rPr>
          <w:rFonts w:ascii="仿宋_GB2312" w:hAnsi="仿宋_GB2312" w:cs="仿宋_GB2312" w:eastAsia="仿宋_GB2312"/>
        </w:rPr>
        <w:t>农业投入品监管系统整市项目(二次)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HCXYR-2026-003.1B1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农业投入品监管系统整市项目(二次)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基于现有陕西省农业投入品监管系统，在我市农资经营门店开展农业投入品动态监管预警与信息服务工作整市推进试点工作。围绕农药、兽药、种子、肥料等生产资料经营销售监管需求，选择基础条件好、经营稳定、已接入互联网、经营人员具备基本电脑操作技能且有安装意愿的农资门店，配置相关设备，对接省农业农村大数据中心，开展农业投入品监管预警应用，实现农业投入品与农产品质量安全的双向追溯，提高我市农业数字化监管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1、有效的主体资格证明：营业执照等主体资格证明文件</w:t>
      </w:r>
    </w:p>
    <w:p>
      <w:pPr>
        <w:pStyle w:val="null3"/>
      </w:pPr>
      <w:r>
        <w:rPr>
          <w:rFonts w:ascii="仿宋_GB2312" w:hAnsi="仿宋_GB2312" w:cs="仿宋_GB2312" w:eastAsia="仿宋_GB2312"/>
        </w:rPr>
        <w:t>2、财务状况报告：提供2024年或2025年完整的财务审计报告或开标时间前六个月内银行出具的资信证明，其他组织和自然人提供银行出具的资信证明</w:t>
      </w:r>
    </w:p>
    <w:p>
      <w:pPr>
        <w:pStyle w:val="null3"/>
      </w:pPr>
      <w:r>
        <w:rPr>
          <w:rFonts w:ascii="仿宋_GB2312" w:hAnsi="仿宋_GB2312" w:cs="仿宋_GB2312" w:eastAsia="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7、法定代表人/负责人授权书：法定代表人/负责人授权书（附法定代表人/负责人、被授权人身份证复印件）（法定代表人/负责人直接参加投标，须提供法定代表人/负责人身份证明书）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韩城市太史大街政府一号楼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韩城市农林局（本级）经办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5196201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鑫益瑞建设工程有限公司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陕西省西安市未央区太华北路甲字88号锦园国际广场21层2104N6号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刘亚兰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18829335388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代理服务费收费标准：参照《国家发展改革委关于进一步放开建设项目专业服务价格的通知》（发改价格【2015】299号）文件记取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韩城市农业农村局</w:t>
      </w:r>
      <w:r>
        <w:rPr>
          <w:rFonts w:ascii="仿宋_GB2312" w:hAnsi="仿宋_GB2312" w:cs="仿宋_GB2312" w:eastAsia="仿宋_GB2312"/>
        </w:rPr>
        <w:t>和</w:t>
      </w:r>
      <w:r>
        <w:rPr>
          <w:rFonts w:ascii="仿宋_GB2312" w:hAnsi="仿宋_GB2312" w:cs="仿宋_GB2312" w:eastAsia="仿宋_GB2312"/>
        </w:rPr>
        <w:t>鑫益瑞建设工程有限公司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鑫益瑞建设工程有限公司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鑫益瑞建设工程有限公司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依据采购合同约定的质量标准、相关行业标准或企业内部质量要求进行。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鑫益瑞建设工程有限公司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鑫益瑞建设工程有限公司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鑫益瑞建设工程有限公司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联系人：刘亚兰</w:t>
      </w:r>
    </w:p>
    <w:p>
      <w:pPr>
        <w:pStyle w:val="null3"/>
      </w:pPr>
      <w:r>
        <w:rPr>
          <w:rFonts w:ascii="仿宋_GB2312" w:hAnsi="仿宋_GB2312" w:cs="仿宋_GB2312" w:eastAsia="仿宋_GB2312"/>
        </w:rPr>
        <w:t>联系电话：18829335388</w:t>
      </w:r>
    </w:p>
    <w:p>
      <w:pPr>
        <w:pStyle w:val="null3"/>
      </w:pPr>
      <w:r>
        <w:rPr>
          <w:rFonts w:ascii="仿宋_GB2312" w:hAnsi="仿宋_GB2312" w:cs="仿宋_GB2312" w:eastAsia="仿宋_GB2312"/>
        </w:rPr>
        <w:t>地址：韩城市桢州大街与麻园路十字碧湖云天1栋426室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计划采购用于农业投入品监管系统信息采集智能终端设施100套，具体内容包括：销售一体机设备、扫码设备、身份读取设备、票据打印设备、人像采集设备等。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425,000.00</w:t>
      </w:r>
    </w:p>
    <w:p>
      <w:pPr>
        <w:pStyle w:val="null3"/>
      </w:pPr>
      <w:r>
        <w:rPr>
          <w:rFonts w:ascii="仿宋_GB2312" w:hAnsi="仿宋_GB2312" w:cs="仿宋_GB2312" w:eastAsia="仿宋_GB2312"/>
        </w:rPr>
        <w:t>采购包最高限价（元）: 425,000.00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农业投入品监管系统整市项目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标的名称：农业投入品监管系统整市项目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32"/>
                <w:b/>
                <w:color w:val="000000"/>
              </w:rPr>
              <w:t>1.技术要求</w:t>
            </w:r>
          </w:p>
          <w:p>
            <w:pPr>
              <w:pStyle w:val="null3"/>
              <w:ind w:firstLine="480"/>
              <w:jc w:val="left"/>
            </w:pPr>
            <w:r>
              <w:rPr>
                <w:rFonts w:ascii="仿宋_GB2312" w:hAnsi="仿宋_GB2312" w:cs="仿宋_GB2312" w:eastAsia="仿宋_GB2312"/>
                <w:sz w:val="32"/>
                <w:color w:val="000000"/>
              </w:rPr>
              <w:t>1.1建设要求：</w:t>
            </w:r>
          </w:p>
          <w:p>
            <w:pPr>
              <w:pStyle w:val="null3"/>
              <w:ind w:firstLine="540"/>
              <w:jc w:val="both"/>
            </w:pPr>
            <w:r>
              <w:rPr>
                <w:rFonts w:ascii="仿宋_GB2312" w:hAnsi="仿宋_GB2312" w:cs="仿宋_GB2312" w:eastAsia="仿宋_GB2312"/>
                <w:sz w:val="32"/>
                <w:color w:val="000000"/>
              </w:rPr>
              <w:t>基于现有陕西省农业投入品监管系统，对接陕西省农业农村大数据中心，围绕种子、农药、化肥、兽药、饲料经营销售监管需求，通过智能终端门店部署</w:t>
            </w:r>
            <w:r>
              <w:rPr>
                <w:rFonts w:ascii="仿宋_GB2312" w:hAnsi="仿宋_GB2312" w:cs="仿宋_GB2312" w:eastAsia="仿宋_GB2312"/>
                <w:sz w:val="32"/>
                <w:color w:val="000000"/>
              </w:rPr>
              <w:t>+数据报送省级平台方式，开展</w:t>
            </w:r>
            <w:r>
              <w:rPr>
                <w:rFonts w:ascii="仿宋_GB2312" w:hAnsi="仿宋_GB2312" w:cs="仿宋_GB2312" w:eastAsia="仿宋_GB2312"/>
                <w:sz w:val="32"/>
                <w:color w:val="000000"/>
              </w:rPr>
              <w:t>韩城市</w:t>
            </w:r>
            <w:r>
              <w:rPr>
                <w:rFonts w:ascii="仿宋_GB2312" w:hAnsi="仿宋_GB2312" w:cs="仿宋_GB2312" w:eastAsia="仿宋_GB2312"/>
                <w:sz w:val="32"/>
                <w:color w:val="000000"/>
              </w:rPr>
              <w:t>农业投入品监管预警应用，实现农业投入品与农产品质量安全的双向追溯，提高农业数字化监管水平。</w:t>
            </w:r>
          </w:p>
          <w:p>
            <w:pPr>
              <w:pStyle w:val="null3"/>
              <w:ind w:firstLine="480"/>
              <w:jc w:val="left"/>
            </w:pPr>
            <w:r>
              <w:rPr>
                <w:rFonts w:ascii="仿宋_GB2312" w:hAnsi="仿宋_GB2312" w:cs="仿宋_GB2312" w:eastAsia="仿宋_GB2312"/>
                <w:sz w:val="32"/>
                <w:color w:val="000000"/>
              </w:rPr>
              <w:t>1.2智能终端系统：</w:t>
            </w:r>
          </w:p>
          <w:p>
            <w:pPr>
              <w:pStyle w:val="null3"/>
              <w:ind w:firstLine="480"/>
              <w:jc w:val="left"/>
            </w:pPr>
            <w:r>
              <w:rPr>
                <w:rFonts w:ascii="仿宋_GB2312" w:hAnsi="仿宋_GB2312" w:cs="仿宋_GB2312" w:eastAsia="仿宋_GB2312"/>
                <w:sz w:val="32"/>
                <w:color w:val="000000"/>
              </w:rPr>
              <w:t>智能终端设备应具备农资扫码出入库、农资销售实时登记、农资实时备案、农户实名制匹配建档、农药处方在线开具等功能。</w:t>
            </w:r>
          </w:p>
          <w:p>
            <w:pPr>
              <w:pStyle w:val="null3"/>
              <w:ind w:firstLine="480"/>
              <w:jc w:val="left"/>
            </w:pPr>
            <w:r>
              <w:rPr>
                <w:rFonts w:ascii="仿宋_GB2312" w:hAnsi="仿宋_GB2312" w:cs="仿宋_GB2312" w:eastAsia="仿宋_GB2312"/>
                <w:sz w:val="32"/>
                <w:color w:val="000000"/>
              </w:rPr>
              <w:t>设备管理系统应具备各类报表汇总、查看功能，包括且不限于库存信息、出入库信息、建档人员信息、订单总量、销售额、农资登记总量等。</w:t>
            </w:r>
          </w:p>
          <w:p>
            <w:pPr>
              <w:pStyle w:val="null3"/>
              <w:ind w:firstLine="480"/>
              <w:jc w:val="left"/>
            </w:pPr>
            <w:r>
              <w:rPr>
                <w:rFonts w:ascii="仿宋_GB2312" w:hAnsi="仿宋_GB2312" w:cs="仿宋_GB2312" w:eastAsia="仿宋_GB2312"/>
                <w:sz w:val="32"/>
                <w:color w:val="000000"/>
              </w:rPr>
              <w:t>设备应具备与省级平台互联互通能力，能实现农户人像档案库自动在线识别分析、农资入库与登记备案库实时在线比对等功能。</w:t>
            </w:r>
          </w:p>
          <w:p>
            <w:pPr>
              <w:pStyle w:val="null3"/>
              <w:ind w:firstLine="480"/>
              <w:jc w:val="left"/>
            </w:pPr>
            <w:r>
              <w:rPr>
                <w:rFonts w:ascii="仿宋_GB2312" w:hAnsi="仿宋_GB2312" w:cs="仿宋_GB2312" w:eastAsia="仿宋_GB2312"/>
                <w:sz w:val="32"/>
                <w:color w:val="000000"/>
              </w:rPr>
              <w:t>1.3智能终端系统数据要求：</w:t>
            </w:r>
          </w:p>
          <w:p>
            <w:pPr>
              <w:pStyle w:val="null3"/>
            </w:pPr>
            <w:r>
              <w:rPr>
                <w:rFonts w:ascii="仿宋_GB2312" w:hAnsi="仿宋_GB2312" w:cs="仿宋_GB2312" w:eastAsia="仿宋_GB2312"/>
                <w:sz w:val="32"/>
                <w:color w:val="000000"/>
              </w:rPr>
              <w:t>农资门店的智能终端系统应满足以规定频率、时间、地址向省级农业投入品监管系统报送规定数据，系统应确保数据报送的完整性，准确性和及时性。</w:t>
            </w:r>
          </w:p>
          <w:p>
            <w:pPr>
              <w:pStyle w:val="null3"/>
            </w:pPr>
            <w:r>
              <w:rPr>
                <w:rFonts w:ascii="仿宋_GB2312" w:hAnsi="仿宋_GB2312" w:cs="仿宋_GB2312" w:eastAsia="仿宋_GB2312"/>
                <w:sz w:val="32"/>
                <w:color w:val="000000"/>
              </w:rPr>
              <w:t>智能终端系统基础数据配置要求</w:t>
            </w:r>
          </w:p>
          <w:tbl>
            <w:tblPr>
              <w:tblInd w:type="dxa" w:w="135"/>
              <w:tblBorders>
                <w:top w:val="none" w:color="000000" w:sz="4"/>
                <w:left w:val="none" w:color="000000" w:sz="4"/>
                <w:bottom w:val="none" w:color="000000" w:sz="4"/>
                <w:right w:val="none" w:color="000000" w:sz="4"/>
                <w:insideH w:val="none"/>
                <w:insideV w:val="none"/>
              </w:tblBorders>
            </w:tblPr>
            <w:tblGrid>
              <w:gridCol w:w="117"/>
              <w:gridCol w:w="395"/>
              <w:gridCol w:w="312"/>
              <w:gridCol w:w="1721"/>
            </w:tblGrid>
            <w:tr>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序号</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数据类别</w:t>
                  </w:r>
                </w:p>
              </w:tc>
              <w:tc>
                <w:tcPr>
                  <w:tcW w:type="dxa" w:w="203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主要内容</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基础信息</w:t>
                  </w:r>
                </w:p>
              </w:tc>
              <w:tc>
                <w:tcPr>
                  <w:tcW w:type="dxa" w:w="20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店铺名称，经营种类</w:t>
                  </w:r>
                  <w:r>
                    <w:rPr>
                      <w:rFonts w:ascii="仿宋_GB2312" w:hAnsi="仿宋_GB2312" w:cs="仿宋_GB2312" w:eastAsia="仿宋_GB2312"/>
                      <w:sz w:val="32"/>
                      <w:color w:val="000000"/>
                    </w:rPr>
                    <w:t>(种子、农药、化肥、农资),门店负责人，门店电话，门店坐标，设备名称，设备类型，设备品牌</w:t>
                  </w:r>
                </w:p>
              </w:tc>
            </w:tr>
            <w:tr>
              <w:tc>
                <w:tcPr>
                  <w:tcW w:type="dxa" w:w="1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w:t>
                  </w:r>
                </w:p>
              </w:tc>
              <w:tc>
                <w:tcPr>
                  <w:tcW w:type="dxa" w:w="39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出入库信息</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种子、化肥、饲料</w:t>
                  </w:r>
                </w:p>
              </w:tc>
              <w:tc>
                <w:tcPr>
                  <w:tcW w:type="dxa" w:w="1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作物名称，品种名称，登记证号，申请者，育种者</w:t>
                  </w:r>
                  <w:r>
                    <w:rPr>
                      <w:rFonts w:ascii="仿宋_GB2312" w:hAnsi="仿宋_GB2312" w:cs="仿宋_GB2312" w:eastAsia="仿宋_GB2312"/>
                      <w:sz w:val="32"/>
                      <w:color w:val="000000"/>
                    </w:rPr>
                    <w:t>(审定单位),品种来源，库存数量，入库时间，有效期，出库时间</w:t>
                  </w:r>
                </w:p>
              </w:tc>
            </w:tr>
            <w:tr>
              <w:tc>
                <w:tcPr>
                  <w:tcW w:type="dxa" w:w="117"/>
                  <w:vMerge/>
                  <w:tcBorders>
                    <w:top w:val="none" w:color="000000" w:sz="4"/>
                    <w:left w:val="single" w:color="000000" w:sz="4"/>
                    <w:bottom w:val="none" w:color="000000" w:sz="4"/>
                    <w:right w:val="single" w:color="000000" w:sz="4"/>
                  </w:tcBorders>
                </w:tcPr>
                <w:p/>
              </w:tc>
              <w:tc>
                <w:tcPr>
                  <w:tcW w:type="dxa" w:w="395"/>
                  <w:vMerge/>
                  <w:tcBorders>
                    <w:top w:val="none" w:color="000000" w:sz="4"/>
                    <w:left w:val="none" w:color="000000" w:sz="4"/>
                    <w:bottom w:val="non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农、兽药</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药品</w:t>
                  </w:r>
                  <w:r>
                    <w:rPr>
                      <w:rFonts w:ascii="仿宋_GB2312" w:hAnsi="仿宋_GB2312" w:cs="仿宋_GB2312" w:eastAsia="仿宋_GB2312"/>
                      <w:sz w:val="32"/>
                      <w:color w:val="000000"/>
                    </w:rPr>
                    <w:t>(商品)名称，品牌名称，通用名称(有效成分名称),登记证号，公司名称，首次批准日期，有效期，药品类型，是否进口，规格，作物/防治对象，安全间隔期，库存数量，入库时间，出库时间</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3</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用户档案信息</w:t>
                  </w:r>
                </w:p>
              </w:tc>
              <w:tc>
                <w:tcPr>
                  <w:tcW w:type="dxa" w:w="20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农户名称，身份证，手机号码，地址，创建时间，购买记录</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4</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销售信息</w:t>
                  </w:r>
                </w:p>
              </w:tc>
              <w:tc>
                <w:tcPr>
                  <w:tcW w:type="dxa" w:w="20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订单号，商品编号，商品数量，商品单价，销售总价，购买人姓名，购买人电话，订单时间，处方记录，规格</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32"/>
                <w:color w:val="000000"/>
              </w:rPr>
              <w:t>1.4智能终端设备</w:t>
            </w:r>
          </w:p>
          <w:tbl>
            <w:tblPr>
              <w:tblInd w:type="dxa" w:w="90"/>
              <w:tblBorders>
                <w:top w:val="none" w:color="000000" w:sz="4"/>
                <w:left w:val="none" w:color="000000" w:sz="4"/>
                <w:bottom w:val="none" w:color="000000" w:sz="4"/>
                <w:right w:val="none" w:color="000000" w:sz="4"/>
                <w:insideH w:val="none"/>
                <w:insideV w:val="none"/>
              </w:tblBorders>
            </w:tblPr>
            <w:tblGrid>
              <w:gridCol w:w="448"/>
              <w:gridCol w:w="1651"/>
              <w:gridCol w:w="270"/>
              <w:gridCol w:w="180"/>
            </w:tblGrid>
            <w:tr>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产品名称</w:t>
                  </w:r>
                </w:p>
              </w:tc>
              <w:tc>
                <w:tcPr>
                  <w:tcW w:type="dxa" w:w="1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技术参数</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计量单位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数量</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销售一体机设备</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1.主屏</w:t>
                  </w:r>
                  <w:r>
                    <w:rPr>
                      <w:rFonts w:ascii="仿宋_GB2312" w:hAnsi="仿宋_GB2312" w:cs="仿宋_GB2312" w:eastAsia="仿宋_GB2312"/>
                      <w:sz w:val="32"/>
                      <w:color w:val="000000"/>
                    </w:rPr>
                    <w:t xml:space="preserve">≥ </w:t>
                  </w:r>
                  <w:r>
                    <w:rPr>
                      <w:rFonts w:ascii="仿宋_GB2312" w:hAnsi="仿宋_GB2312" w:cs="仿宋_GB2312" w:eastAsia="仿宋_GB2312"/>
                      <w:sz w:val="32"/>
                      <w:color w:val="000000"/>
                    </w:rPr>
                    <w:t>12</w:t>
                  </w:r>
                  <w:r>
                    <w:rPr>
                      <w:rFonts w:ascii="仿宋_GB2312" w:hAnsi="仿宋_GB2312" w:cs="仿宋_GB2312" w:eastAsia="仿宋_GB2312"/>
                      <w:sz w:val="32"/>
                      <w:color w:val="000000"/>
                    </w:rPr>
                    <w:t>.1</w:t>
                  </w:r>
                  <w:r>
                    <w:rPr>
                      <w:rFonts w:ascii="仿宋_GB2312" w:hAnsi="仿宋_GB2312" w:cs="仿宋_GB2312" w:eastAsia="仿宋_GB2312"/>
                      <w:sz w:val="32"/>
                      <w:color w:val="000000"/>
                    </w:rPr>
                    <w:t>"HD,客显</w:t>
                  </w:r>
                  <w:r>
                    <w:rPr>
                      <w:rFonts w:ascii="仿宋_GB2312" w:hAnsi="仿宋_GB2312" w:cs="仿宋_GB2312" w:eastAsia="仿宋_GB2312"/>
                      <w:sz w:val="32"/>
                      <w:color w:val="000000"/>
                    </w:rPr>
                    <w:t>≥</w:t>
                  </w:r>
                  <w:r>
                    <w:rPr>
                      <w:rFonts w:ascii="仿宋_GB2312" w:hAnsi="仿宋_GB2312" w:cs="仿宋_GB2312" w:eastAsia="仿宋_GB2312"/>
                      <w:sz w:val="32"/>
                      <w:color w:val="000000"/>
                    </w:rPr>
                    <w:t>10</w:t>
                  </w:r>
                  <w:r>
                    <w:rPr>
                      <w:rFonts w:ascii="仿宋_GB2312" w:hAnsi="仿宋_GB2312" w:cs="仿宋_GB2312" w:eastAsia="仿宋_GB2312"/>
                      <w:sz w:val="32"/>
                      <w:color w:val="000000"/>
                    </w:rPr>
                    <w:t>.1</w:t>
                  </w:r>
                  <w:r>
                    <w:rPr>
                      <w:rFonts w:ascii="仿宋_GB2312" w:hAnsi="仿宋_GB2312" w:cs="仿宋_GB2312" w:eastAsia="仿宋_GB2312"/>
                      <w:sz w:val="32"/>
                      <w:color w:val="000000"/>
                    </w:rPr>
                    <w:t>"HD；</w:t>
                  </w:r>
                </w:p>
                <w:p>
                  <w:pPr>
                    <w:pStyle w:val="null3"/>
                    <w:jc w:val="left"/>
                  </w:pPr>
                  <w:r>
                    <w:rPr>
                      <w:rFonts w:ascii="仿宋_GB2312" w:hAnsi="仿宋_GB2312" w:cs="仿宋_GB2312" w:eastAsia="仿宋_GB2312"/>
                      <w:sz w:val="32"/>
                      <w:color w:val="000000"/>
                    </w:rPr>
                    <w:t>2.处理器4 核 2.0GHz或以上；</w:t>
                  </w:r>
                </w:p>
                <w:p>
                  <w:pPr>
                    <w:pStyle w:val="null3"/>
                    <w:jc w:val="left"/>
                  </w:pPr>
                  <w:r>
                    <w:rPr>
                      <w:rFonts w:ascii="仿宋_GB2312" w:hAnsi="仿宋_GB2312" w:cs="仿宋_GB2312" w:eastAsia="仿宋_GB2312"/>
                      <w:sz w:val="32"/>
                      <w:color w:val="000000"/>
                    </w:rPr>
                    <w:t>3.存储器</w:t>
                  </w:r>
                  <w:r>
                    <w:rPr>
                      <w:rFonts w:ascii="仿宋_GB2312" w:hAnsi="仿宋_GB2312" w:cs="仿宋_GB2312" w:eastAsia="仿宋_GB2312"/>
                      <w:sz w:val="32"/>
                      <w:color w:val="000000"/>
                    </w:rPr>
                    <w:t xml:space="preserve">≥ </w:t>
                  </w:r>
                  <w:r>
                    <w:rPr>
                      <w:rFonts w:ascii="仿宋_GB2312" w:hAnsi="仿宋_GB2312" w:cs="仿宋_GB2312" w:eastAsia="仿宋_GB2312"/>
                      <w:sz w:val="32"/>
                      <w:color w:val="000000"/>
                    </w:rPr>
                    <w:t>2GBRAM+16GBROM；</w:t>
                  </w:r>
                </w:p>
                <w:p>
                  <w:pPr>
                    <w:pStyle w:val="null3"/>
                    <w:jc w:val="left"/>
                  </w:pPr>
                  <w:r>
                    <w:rPr>
                      <w:rFonts w:ascii="仿宋_GB2312" w:hAnsi="仿宋_GB2312" w:cs="仿宋_GB2312" w:eastAsia="仿宋_GB2312"/>
                      <w:sz w:val="32"/>
                      <w:color w:val="000000"/>
                    </w:rPr>
                    <w:t>4.触摸屏支持电容多点触摸；</w:t>
                  </w:r>
                </w:p>
                <w:p>
                  <w:pPr>
                    <w:pStyle w:val="null3"/>
                    <w:jc w:val="left"/>
                  </w:pPr>
                  <w:r>
                    <w:rPr>
                      <w:rFonts w:ascii="仿宋_GB2312" w:hAnsi="仿宋_GB2312" w:cs="仿宋_GB2312" w:eastAsia="仿宋_GB2312"/>
                      <w:sz w:val="32"/>
                      <w:color w:val="000000"/>
                    </w:rPr>
                    <w:t>5.支持Wi-Fi</w:t>
                  </w:r>
                  <w:r>
                    <w:rPr>
                      <w:rFonts w:ascii="仿宋_GB2312" w:hAnsi="仿宋_GB2312" w:cs="仿宋_GB2312" w:eastAsia="仿宋_GB2312"/>
                      <w:sz w:val="32"/>
                      <w:color w:val="000000"/>
                    </w:rPr>
                    <w:t>（</w:t>
                  </w:r>
                  <w:r>
                    <w:rPr>
                      <w:rFonts w:ascii="仿宋_GB2312" w:hAnsi="仿宋_GB2312" w:cs="仿宋_GB2312" w:eastAsia="仿宋_GB2312"/>
                      <w:sz w:val="32"/>
                      <w:color w:val="000000"/>
                    </w:rPr>
                    <w:t>2.4GHz）支持IEEE802.11 b/g/n协议</w:t>
                  </w:r>
                  <w:r>
                    <w:rPr>
                      <w:rFonts w:ascii="仿宋_GB2312" w:hAnsi="仿宋_GB2312" w:cs="仿宋_GB2312" w:eastAsia="仿宋_GB2312"/>
                      <w:sz w:val="32"/>
                      <w:color w:val="000000"/>
                    </w:rPr>
                    <w:t>；</w:t>
                  </w:r>
                </w:p>
                <w:p>
                  <w:pPr>
                    <w:pStyle w:val="null3"/>
                    <w:jc w:val="left"/>
                  </w:pPr>
                  <w:r>
                    <w:rPr>
                      <w:rFonts w:ascii="仿宋_GB2312" w:hAnsi="仿宋_GB2312" w:cs="仿宋_GB2312" w:eastAsia="仿宋_GB2312"/>
                      <w:sz w:val="32"/>
                      <w:color w:val="000000"/>
                    </w:rPr>
                    <w:t>6.具备蓝牙功能</w:t>
                  </w:r>
                  <w:r>
                    <w:rPr>
                      <w:rFonts w:ascii="仿宋_GB2312" w:hAnsi="仿宋_GB2312" w:cs="仿宋_GB2312" w:eastAsia="仿宋_GB2312"/>
                      <w:sz w:val="32"/>
                      <w:color w:val="000000"/>
                    </w:rPr>
                    <w:t>，</w:t>
                  </w:r>
                  <w:r>
                    <w:rPr>
                      <w:rFonts w:ascii="仿宋_GB2312" w:hAnsi="仿宋_GB2312" w:cs="仿宋_GB2312" w:eastAsia="仿宋_GB2312"/>
                      <w:sz w:val="32"/>
                      <w:color w:val="000000"/>
                    </w:rPr>
                    <w:t>BT2.1/3.0/4.0/4.2/5.0</w:t>
                  </w:r>
                  <w:r>
                    <w:rPr>
                      <w:rFonts w:ascii="仿宋_GB2312" w:hAnsi="仿宋_GB2312" w:cs="仿宋_GB2312" w:eastAsia="仿宋_GB2312"/>
                      <w:sz w:val="32"/>
                      <w:color w:val="000000"/>
                    </w:rPr>
                    <w:t>；</w:t>
                  </w:r>
                </w:p>
                <w:p>
                  <w:pPr>
                    <w:pStyle w:val="null3"/>
                    <w:jc w:val="left"/>
                  </w:pPr>
                  <w:r>
                    <w:rPr>
                      <w:rFonts w:ascii="仿宋_GB2312" w:hAnsi="仿宋_GB2312" w:cs="仿宋_GB2312" w:eastAsia="仿宋_GB2312"/>
                      <w:sz w:val="32"/>
                      <w:color w:val="000000"/>
                    </w:rPr>
                    <w:t>7.外部 USB 接口</w:t>
                  </w:r>
                  <w:r>
                    <w:rPr>
                      <w:rFonts w:ascii="仿宋_GB2312" w:hAnsi="仿宋_GB2312" w:cs="仿宋_GB2312" w:eastAsia="仿宋_GB2312"/>
                      <w:sz w:val="32"/>
                      <w:b/>
                      <w:color w:val="000000"/>
                    </w:rPr>
                    <w:t>不低于</w:t>
                  </w:r>
                  <w:r>
                    <w:rPr>
                      <w:rFonts w:ascii="仿宋_GB2312" w:hAnsi="仿宋_GB2312" w:cs="仿宋_GB2312" w:eastAsia="仿宋_GB2312"/>
                      <w:sz w:val="32"/>
                      <w:color w:val="000000"/>
                    </w:rPr>
                    <w:t xml:space="preserve"> 2 个，具有 RJ45LAN 口；</w:t>
                  </w:r>
                </w:p>
                <w:p>
                  <w:pPr>
                    <w:pStyle w:val="null3"/>
                    <w:jc w:val="left"/>
                  </w:pPr>
                  <w:r>
                    <w:rPr>
                      <w:rFonts w:ascii="仿宋_GB2312" w:hAnsi="仿宋_GB2312" w:cs="仿宋_GB2312" w:eastAsia="仿宋_GB2312"/>
                      <w:sz w:val="32"/>
                      <w:color w:val="000000"/>
                    </w:rPr>
                    <w:t>8.操作系统Android7或以上。</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100</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产品扫码设备</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1.设备像素</w:t>
                  </w:r>
                  <w:r>
                    <w:rPr>
                      <w:rFonts w:ascii="仿宋_GB2312" w:hAnsi="仿宋_GB2312" w:cs="仿宋_GB2312" w:eastAsia="仿宋_GB2312"/>
                      <w:sz w:val="21"/>
                    </w:rPr>
                    <w:t xml:space="preserve"> </w:t>
                  </w:r>
                  <w:r>
                    <w:rPr>
                      <w:rFonts w:ascii="仿宋_GB2312" w:hAnsi="仿宋_GB2312" w:cs="仿宋_GB2312" w:eastAsia="仿宋_GB2312"/>
                      <w:sz w:val="32"/>
                      <w:color w:val="000000"/>
                    </w:rPr>
                    <w:t>≥</w:t>
                  </w:r>
                  <w:r>
                    <w:rPr>
                      <w:rFonts w:ascii="仿宋_GB2312" w:hAnsi="仿宋_GB2312" w:cs="仿宋_GB2312" w:eastAsia="仿宋_GB2312"/>
                      <w:sz w:val="32"/>
                      <w:color w:val="000000"/>
                    </w:rPr>
                    <w:t>640*480；</w:t>
                  </w:r>
                </w:p>
                <w:p>
                  <w:pPr>
                    <w:pStyle w:val="null3"/>
                    <w:jc w:val="left"/>
                  </w:pPr>
                  <w:r>
                    <w:rPr>
                      <w:rFonts w:ascii="仿宋_GB2312" w:hAnsi="仿宋_GB2312" w:cs="仿宋_GB2312" w:eastAsia="仿宋_GB2312"/>
                      <w:sz w:val="32"/>
                      <w:color w:val="000000"/>
                    </w:rPr>
                    <w:t>2.支持照明、对焦；</w:t>
                  </w:r>
                </w:p>
                <w:p>
                  <w:pPr>
                    <w:pStyle w:val="null3"/>
                    <w:jc w:val="left"/>
                  </w:pPr>
                  <w:r>
                    <w:rPr>
                      <w:rFonts w:ascii="仿宋_GB2312" w:hAnsi="仿宋_GB2312" w:cs="仿宋_GB2312" w:eastAsia="仿宋_GB2312"/>
                      <w:sz w:val="32"/>
                      <w:color w:val="000000"/>
                    </w:rPr>
                    <w:t>3.识读码制支持条形码和二维码；</w:t>
                  </w:r>
                </w:p>
                <w:p>
                  <w:pPr>
                    <w:pStyle w:val="null3"/>
                    <w:jc w:val="left"/>
                  </w:pPr>
                  <w:r>
                    <w:rPr>
                      <w:rFonts w:ascii="仿宋_GB2312" w:hAnsi="仿宋_GB2312" w:cs="仿宋_GB2312" w:eastAsia="仿宋_GB2312"/>
                      <w:sz w:val="32"/>
                      <w:color w:val="000000"/>
                    </w:rPr>
                    <w:t>4.通讯接口支持 USB</w:t>
                  </w:r>
                  <w:r>
                    <w:rPr>
                      <w:rFonts w:ascii="仿宋_GB2312" w:hAnsi="仿宋_GB2312" w:cs="仿宋_GB2312" w:eastAsia="仿宋_GB2312"/>
                      <w:sz w:val="32"/>
                      <w:color w:val="000000"/>
                    </w:rPr>
                    <w:t>2.0</w:t>
                  </w:r>
                  <w:r>
                    <w:rPr>
                      <w:rFonts w:ascii="仿宋_GB2312" w:hAnsi="仿宋_GB2312" w:cs="仿宋_GB2312" w:eastAsia="仿宋_GB2312"/>
                      <w:sz w:val="32"/>
                      <w:color w:val="000000"/>
                    </w:rPr>
                    <w:t>；</w:t>
                  </w:r>
                </w:p>
                <w:p>
                  <w:pPr>
                    <w:pStyle w:val="null3"/>
                    <w:jc w:val="left"/>
                  </w:pPr>
                  <w:r>
                    <w:rPr>
                      <w:rFonts w:ascii="仿宋_GB2312" w:hAnsi="仿宋_GB2312" w:cs="仿宋_GB2312" w:eastAsia="仿宋_GB2312"/>
                      <w:sz w:val="32"/>
                      <w:color w:val="000000"/>
                    </w:rPr>
                    <w:t>5.支持 Android 操作系统。</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100</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身份数据读取设备</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1.具备身份证读取功能；</w:t>
                  </w:r>
                </w:p>
                <w:p>
                  <w:pPr>
                    <w:pStyle w:val="null3"/>
                    <w:jc w:val="left"/>
                  </w:pPr>
                  <w:r>
                    <w:rPr>
                      <w:rFonts w:ascii="仿宋_GB2312" w:hAnsi="仿宋_GB2312" w:cs="仿宋_GB2312" w:eastAsia="仿宋_GB2312"/>
                      <w:sz w:val="32"/>
                      <w:color w:val="000000"/>
                    </w:rPr>
                    <w:t>2.具备农户在线建档及本地图像库采集比对功能，通过终端实现农户基础档案在线建档，并完成本地图像库及省级图像库的比对。</w:t>
                  </w:r>
                </w:p>
                <w:p>
                  <w:pPr>
                    <w:pStyle w:val="null3"/>
                    <w:jc w:val="left"/>
                  </w:pPr>
                  <w:r>
                    <w:rPr>
                      <w:rFonts w:ascii="仿宋_GB2312" w:hAnsi="仿宋_GB2312" w:cs="仿宋_GB2312" w:eastAsia="仿宋_GB2312"/>
                      <w:sz w:val="32"/>
                      <w:color w:val="000000"/>
                    </w:rPr>
                    <w:t>3.设备阅读距离</w:t>
                  </w:r>
                  <w:r>
                    <w:rPr>
                      <w:rFonts w:ascii="仿宋_GB2312" w:hAnsi="仿宋_GB2312" w:cs="仿宋_GB2312" w:eastAsia="仿宋_GB2312"/>
                      <w:sz w:val="32"/>
                      <w:color w:val="000000"/>
                    </w:rPr>
                    <w:t xml:space="preserve">≥ </w:t>
                  </w:r>
                  <w:r>
                    <w:rPr>
                      <w:rFonts w:ascii="仿宋_GB2312" w:hAnsi="仿宋_GB2312" w:cs="仿宋_GB2312" w:eastAsia="仿宋_GB2312"/>
                      <w:sz w:val="32"/>
                      <w:color w:val="000000"/>
                    </w:rPr>
                    <w:t>3cm；</w:t>
                  </w:r>
                </w:p>
                <w:p>
                  <w:pPr>
                    <w:pStyle w:val="null3"/>
                    <w:jc w:val="left"/>
                  </w:pPr>
                  <w:r>
                    <w:rPr>
                      <w:rFonts w:ascii="仿宋_GB2312" w:hAnsi="仿宋_GB2312" w:cs="仿宋_GB2312" w:eastAsia="仿宋_GB2312"/>
                      <w:sz w:val="32"/>
                      <w:color w:val="000000"/>
                    </w:rPr>
                    <w:t>4.接口支持 USB</w:t>
                  </w:r>
                  <w:r>
                    <w:rPr>
                      <w:rFonts w:ascii="仿宋_GB2312" w:hAnsi="仿宋_GB2312" w:cs="仿宋_GB2312" w:eastAsia="仿宋_GB2312"/>
                      <w:sz w:val="32"/>
                      <w:color w:val="000000"/>
                    </w:rPr>
                    <w:t>2.0</w:t>
                  </w:r>
                  <w:r>
                    <w:rPr>
                      <w:rFonts w:ascii="仿宋_GB2312" w:hAnsi="仿宋_GB2312" w:cs="仿宋_GB2312" w:eastAsia="仿宋_GB2312"/>
                      <w:sz w:val="32"/>
                      <w:color w:val="000000"/>
                    </w:rPr>
                    <w:t>；</w:t>
                  </w:r>
                </w:p>
                <w:p>
                  <w:pPr>
                    <w:pStyle w:val="null3"/>
                    <w:jc w:val="left"/>
                  </w:pPr>
                  <w:r>
                    <w:rPr>
                      <w:rFonts w:ascii="仿宋_GB2312" w:hAnsi="仿宋_GB2312" w:cs="仿宋_GB2312" w:eastAsia="仿宋_GB2312"/>
                      <w:sz w:val="32"/>
                      <w:color w:val="000000"/>
                    </w:rPr>
                    <w:t>5.支持 0TG 即插即用。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100</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票据打印设备</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1.热敏打印机；</w:t>
                  </w:r>
                </w:p>
                <w:p>
                  <w:pPr>
                    <w:pStyle w:val="null3"/>
                    <w:jc w:val="left"/>
                  </w:pPr>
                  <w:r>
                    <w:rPr>
                      <w:rFonts w:ascii="仿宋_GB2312" w:hAnsi="仿宋_GB2312" w:cs="仿宋_GB2312" w:eastAsia="仿宋_GB2312"/>
                      <w:sz w:val="32"/>
                      <w:color w:val="000000"/>
                    </w:rPr>
                    <w:t>2.接口类型支持 USB；</w:t>
                  </w:r>
                </w:p>
                <w:p>
                  <w:pPr>
                    <w:pStyle w:val="null3"/>
                    <w:jc w:val="left"/>
                  </w:pPr>
                  <w:r>
                    <w:rPr>
                      <w:rFonts w:ascii="仿宋_GB2312" w:hAnsi="仿宋_GB2312" w:cs="仿宋_GB2312" w:eastAsia="仿宋_GB2312"/>
                      <w:sz w:val="32"/>
                      <w:color w:val="000000"/>
                    </w:rPr>
                    <w:t>3.支持常规的小票打印纸规格。</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100</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人像采集设备</w:t>
                  </w:r>
                </w:p>
              </w:tc>
              <w:tc>
                <w:tcPr>
                  <w:tcW w:type="dxa" w:w="1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color w:val="000000"/>
                    </w:rPr>
                    <w:t>1.具备人脸捕捉功能；</w:t>
                  </w:r>
                </w:p>
                <w:p>
                  <w:pPr>
                    <w:pStyle w:val="null3"/>
                    <w:jc w:val="left"/>
                  </w:pPr>
                  <w:r>
                    <w:rPr>
                      <w:rFonts w:ascii="仿宋_GB2312" w:hAnsi="仿宋_GB2312" w:cs="仿宋_GB2312" w:eastAsia="仿宋_GB2312"/>
                      <w:sz w:val="32"/>
                      <w:color w:val="000000"/>
                    </w:rPr>
                    <w:t>2.分辨率</w:t>
                  </w:r>
                  <w:r>
                    <w:rPr>
                      <w:rFonts w:ascii="仿宋_GB2312" w:hAnsi="仿宋_GB2312" w:cs="仿宋_GB2312" w:eastAsia="仿宋_GB2312"/>
                      <w:sz w:val="32"/>
                      <w:color w:val="000000"/>
                    </w:rPr>
                    <w:t>≥</w:t>
                  </w:r>
                  <w:r>
                    <w:rPr>
                      <w:rFonts w:ascii="仿宋_GB2312" w:hAnsi="仿宋_GB2312" w:cs="仿宋_GB2312" w:eastAsia="仿宋_GB2312"/>
                      <w:sz w:val="32"/>
                      <w:color w:val="000000"/>
                    </w:rPr>
                    <w:t>720p/30fps；</w:t>
                  </w:r>
                </w:p>
                <w:p>
                  <w:pPr>
                    <w:pStyle w:val="null3"/>
                    <w:jc w:val="left"/>
                  </w:pPr>
                  <w:r>
                    <w:rPr>
                      <w:rFonts w:ascii="仿宋_GB2312" w:hAnsi="仿宋_GB2312" w:cs="仿宋_GB2312" w:eastAsia="仿宋_GB2312"/>
                      <w:sz w:val="32"/>
                      <w:color w:val="000000"/>
                    </w:rPr>
                    <w:t>3.支持自动对焦；</w:t>
                  </w:r>
                </w:p>
                <w:p>
                  <w:pPr>
                    <w:pStyle w:val="null3"/>
                    <w:jc w:val="left"/>
                  </w:pPr>
                  <w:r>
                    <w:rPr>
                      <w:rFonts w:ascii="仿宋_GB2312" w:hAnsi="仿宋_GB2312" w:cs="仿宋_GB2312" w:eastAsia="仿宋_GB2312"/>
                      <w:sz w:val="32"/>
                      <w:color w:val="000000"/>
                    </w:rPr>
                    <w:t>4.支持 Android 操作系统。</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100</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甲乙双方约定的地点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确定的农资门店，名单，逐一完成设备安装、调试和现场培训，确保培训后农资门店经营人员可独立完成输入、扫码、搜索、查询等具体操作，同时实现与省农业农村大数据中心对接，保障农业投入品与管理终端各项数据能够实时上传。项目完成后，乙方准备验收资料，向甲方提出验收申请，甲方组织相关人员根据项目实施方案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若出现违约或争议，双方协商解决，如果协商失败，可通过仲裁方式解决。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营业执照等主体资格证明文件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提供2024年或2025年完整的财务审计报告或开标时间前六个月内银行出具的资信证明，其他组织和自然人提供银行出具的资信证明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法定代表人/负责人授权书（附法定代表人/负责人、被授权人身份证复印件）（法定代表人/负责人直接参加投标，须提供法定代表人/负责人身份证明书）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投标文件是否按照招标文件要求的格式编写。</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投标文件的签署、加盖印章是否有效。（投标文件中凡是需要法定代表人签字或盖章之处，非法人单位的负责人均参照执行。供应商如为分支机构，则该分支机构负责人视同法定代表人。）</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投标报价是否超过采购预算（或最高限价）； 投标有效期是否符合招标文件的要求。</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针对本项目列出整体服务内容和计划安排、服务内容分析、服务目标等进行综合评定。 方案内容分析完整、全面、合理，服务目标明确，完全满足采购人需求计15分； 基本满足计10分；内容不全、有缺陷的计5分； 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投标人需针对本项目提供完整的项目实施方案。内容包含：①供货方案；②运输、包装方案；③安装、调试方案；④质量保障方案；⑤进度保障方案；并按照以下标准评审： 二、评审标准 1、完整性：方案须全面，对评审内容中的各项要求描述详细； 2、可实施性：切合本项目实际情况，实施步骤清晰、合理； 3、针对性：方案能够紧扣项目实际情况，内容科学合理。 三、赋分依据（满分15分） ①供货方案：每完全满足一个评审标准得1分，满分3分；未提供不得分； ②运输、包装方案：每完全满足一个评审标准得1分，满分3分；未提供不得分； ③安装、调试方案：每完全满足一个评审标准得1分，满分3分；未提供不得分； ④质量保障方案：每完全满足一个评审标准得1分，满分3分；未提供不得分； ⑤进度保障方案：每完全满足一个评审标准得1分，满分3分；未提供不得分；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工作流程管理制度</w:t>
            </w:r>
          </w:p>
        </w:tc>
        <w:tc>
          <w:tcPr>
            <w:tcW w:type="dxa" w:w="2492"/>
          </w:tcPr>
          <w:p>
            <w:pPr>
              <w:pStyle w:val="null3"/>
            </w:pPr>
            <w:r>
              <w:rPr>
                <w:rFonts w:ascii="仿宋_GB2312" w:hAnsi="仿宋_GB2312" w:cs="仿宋_GB2312" w:eastAsia="仿宋_GB2312"/>
              </w:rPr>
              <w:t>供应商针对本项目提供健全的工作流程管理制度。 管理制度健全、规范，详细、具体，针对性强，可实施性高，预期能够实现良好的效果，计6分； 基本能够实现工作流程管理制度的计4分；主要内容的缺失，或内容不够详细全面，针对性较差计2分；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①容易出错或忽略的重点、难点分析、②针对所提出的重点、难点有相应的解决方案。赋分依据：（1）重点、难点分析每完全满足一项得2分，满分4分；（2）重点、难点解决方案每项2分，满分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提供针对本项目的应急措施，项目实施过程中针对突发事件和重大业务时间节点的风险防范措施及应急突发事件的处理预案。二、评审标准 ①完整性：措施须全面，对评审内容中的各项要求有详细描述及说明； ②可实施性：切合本项目实际情况，实施步骤清晰、合理； ③针对性：措施能够紧扣项目实际情况，内容科学合理。 三、赋分标准 每完全满足一项评审标准得3分，基本满足得2分，有缺陷得1分；满分9分。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提供2023年1月1日以来供应商同类项目的业绩合同（以合同签订日期为准），附业绩合同复印件加盖公章，每份2分，满分6分；未提供不计分。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根据项目实际需求提供售后服务方案。内容包含：①售后服务范围及保障措施②售后服务流程③售后服务响应时间及响应方式；并按以下标准评审： 二、评审标准 1、完整性：方案须全面，对评审内容中的各项要求有详细描述； 2、可实施性：切合本项目实际情况，实施步骤清晰、合理； 3、针对性：方案能够紧扣项目实际情况，内容科学合理。 三、赋分依据（满分9分） ①售后服务范围及保障措施：每完全满足一个评审标准得1分，满分3分，未提供不得分； ②售后服务流程：每完全满足一个评审标准得1分，满分3分，未提供不得分； ③售后服务响应时间及响应方式：每完全满足一个评审标准得1分，满分3分，未提供不得分。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根据项目实际需求提供培训方案。内容包含：①培训方式、培训时间安排②培训范围及内容；并按以下标准评审： 二、评审标准 1、完整性：方案须全面，对评审内容中的各项要求有详细描述； 2、可实施性：切合本项目实际情况，实施步骤清晰、合理； 3、针对性：方案能够紧扣项目实际情况，内容科学合理。 三、赋分依据（满分8分） ①培训方式、培训时间安排：每完全满足一个评审标准得2分，满分4分，未提供不得分； ②培训范围及内容：每完全满足一个评审标准得2分，满分4分，未提供不得分；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项目组织和团队配备</w:t>
            </w:r>
          </w:p>
        </w:tc>
        <w:tc>
          <w:tcPr>
            <w:tcW w:type="dxa" w:w="2492"/>
          </w:tcPr>
          <w:p>
            <w:pPr>
              <w:pStyle w:val="null3"/>
            </w:pPr>
            <w:r>
              <w:rPr>
                <w:rFonts w:ascii="仿宋_GB2312" w:hAnsi="仿宋_GB2312" w:cs="仿宋_GB2312" w:eastAsia="仿宋_GB2312"/>
              </w:rPr>
              <w:t>一、评审内容 供应商提供拟派本项目工作人员组成情况（有具体成员名单，包括姓名、工作经验、工作职责、联系方式等） 二、评审标准 ①完整性：组织机构的运行配备完善、各岗位人员分工明确合理。 ②针对性：人员数量充足，人员资格、年龄等符合采购需求； ③专业性：人员相关岗位经验丰富，切合本项目实际情况。 三、赋分标准 每完全满足一项评审标准得3分，基本满足得2分，有缺陷得1分；满分9分。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