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版本号：JXZB2026-03-1720260323001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韩城市2024年度省级林业有害生物综合防治项目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JXZB2026-03-17</w:t>
      </w:r>
      <w:r>
        <w:br/>
      </w:r>
      <w:r>
        <w:br/>
      </w:r>
      <w:r>
        <w:br/>
      </w:r>
    </w:p>
    <w:p>
      <w:pPr>
        <w:pStyle w:val="null3"/>
        <w:jc w:val="center"/>
        <w:outlineLvl w:val="2"/>
      </w:pPr>
      <w:r>
        <w:rPr>
          <w:rFonts w:ascii="仿宋_GB2312" w:hAnsi="仿宋_GB2312" w:cs="仿宋_GB2312" w:eastAsia="仿宋_GB2312"/>
          <w:sz w:val="28"/>
          <w:b/>
        </w:rPr>
        <w:t>韩城市林业局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韩城市林业局</w:t>
      </w:r>
      <w:r>
        <w:rPr>
          <w:rFonts w:ascii="仿宋_GB2312" w:hAnsi="仿宋_GB2312" w:cs="仿宋_GB2312" w:eastAsia="仿宋_GB2312"/>
        </w:rPr>
        <w:t>委托，拟对</w:t>
      </w:r>
      <w:r>
        <w:rPr>
          <w:rFonts w:ascii="仿宋_GB2312" w:hAnsi="仿宋_GB2312" w:cs="仿宋_GB2312" w:eastAsia="仿宋_GB2312"/>
        </w:rPr>
        <w:t>韩城市2024年度省级林业有害生物综合防治项目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JXZB2026-03-17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韩城市2024年度省级林业有害生物综合防治项目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在薛峰林区峰川管护区峰川村段实施有害生物防治1.2万亩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采购包1（韩城市2024年度省级林业有害生物综合防治项目）：属于专门面向中小企业采购。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2、财务状况报告：提供2024年至今任意一年完整的财务审计报告或响应文件提交截止时间前六个月内银行出具的资信证明，其他组织和自然人提供银行出具的资信证明</w:t>
      </w:r>
    </w:p>
    <w:p>
      <w:pPr>
        <w:pStyle w:val="null3"/>
      </w:pPr>
      <w:r>
        <w:rPr>
          <w:rFonts w:ascii="仿宋_GB2312" w:hAnsi="仿宋_GB2312" w:cs="仿宋_GB2312" w:eastAsia="仿宋_GB2312"/>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8、资质：供应商应具备林业有害生物防治丙级或以上资质证书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韩城市新城区太史大街政府1号楼四楼东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13991673205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韩城市林业局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在薛峰林区峰川管护区峰川村段实施有害生物防治1.2万亩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韩城市2024年度省级林业有害生物综合防治项目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标的名称：韩城市2024年度省级林业有害生物综合防治项目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主要建设规模及内容</w:t>
            </w:r>
          </w:p>
          <w:p>
            <w:pPr>
              <w:pStyle w:val="null3"/>
            </w:pPr>
            <w:r>
              <w:rPr>
                <w:rFonts w:ascii="仿宋_GB2312" w:hAnsi="仿宋_GB2312" w:cs="仿宋_GB2312" w:eastAsia="仿宋_GB2312"/>
              </w:rPr>
              <w:t>本</w:t>
            </w:r>
            <w:r>
              <w:rPr>
                <w:rFonts w:ascii="仿宋_GB2312" w:hAnsi="仿宋_GB2312" w:cs="仿宋_GB2312" w:eastAsia="仿宋_GB2312"/>
              </w:rPr>
              <w:t>项目主要</w:t>
            </w:r>
            <w:r>
              <w:rPr>
                <w:rFonts w:ascii="仿宋_GB2312" w:hAnsi="仿宋_GB2312" w:cs="仿宋_GB2312" w:eastAsia="仿宋_GB2312"/>
              </w:rPr>
              <w:t>是</w:t>
            </w:r>
            <w:r>
              <w:rPr>
                <w:rFonts w:ascii="仿宋_GB2312" w:hAnsi="仿宋_GB2312" w:cs="仿宋_GB2312" w:eastAsia="仿宋_GB2312"/>
              </w:rPr>
              <w:t>针对</w:t>
            </w:r>
            <w:r>
              <w:rPr>
                <w:rFonts w:ascii="仿宋_GB2312" w:hAnsi="仿宋_GB2312" w:cs="仿宋_GB2312" w:eastAsia="仿宋_GB2312"/>
              </w:rPr>
              <w:t>侧柏叶枯病、白皮松落针病进行</w:t>
            </w:r>
            <w:r>
              <w:rPr>
                <w:rFonts w:ascii="仿宋_GB2312" w:hAnsi="仿宋_GB2312" w:cs="仿宋_GB2312" w:eastAsia="仿宋_GB2312"/>
              </w:rPr>
              <w:t>无人机</w:t>
            </w:r>
            <w:r>
              <w:rPr>
                <w:rFonts w:ascii="仿宋_GB2312" w:hAnsi="仿宋_GB2312" w:cs="仿宋_GB2312" w:eastAsia="仿宋_GB2312"/>
              </w:rPr>
              <w:t>防治</w:t>
            </w:r>
            <w:r>
              <w:rPr>
                <w:rFonts w:ascii="仿宋_GB2312" w:hAnsi="仿宋_GB2312" w:cs="仿宋_GB2312" w:eastAsia="仿宋_GB2312"/>
              </w:rPr>
              <w:t>，</w:t>
            </w:r>
            <w:r>
              <w:rPr>
                <w:rFonts w:ascii="仿宋_GB2312" w:hAnsi="仿宋_GB2312" w:cs="仿宋_GB2312" w:eastAsia="仿宋_GB2312"/>
              </w:rPr>
              <w:t>实施薛峰林区有害生物防治</w:t>
            </w:r>
            <w:r>
              <w:rPr>
                <w:rFonts w:ascii="仿宋_GB2312" w:hAnsi="仿宋_GB2312" w:cs="仿宋_GB2312" w:eastAsia="仿宋_GB2312"/>
              </w:rPr>
              <w:t>1.2万亩</w:t>
            </w:r>
            <w:r>
              <w:rPr>
                <w:rFonts w:ascii="仿宋_GB2312" w:hAnsi="仿宋_GB2312" w:cs="仿宋_GB2312" w:eastAsia="仿宋_GB2312"/>
              </w:rPr>
              <w:t>。</w:t>
            </w:r>
          </w:p>
          <w:p>
            <w:pPr>
              <w:pStyle w:val="null3"/>
            </w:pPr>
            <w:r>
              <w:rPr>
                <w:rFonts w:ascii="仿宋_GB2312" w:hAnsi="仿宋_GB2312" w:cs="仿宋_GB2312" w:eastAsia="仿宋_GB2312"/>
                <w:b/>
              </w:rPr>
              <w:t>（二）项目区现状</w:t>
            </w:r>
          </w:p>
          <w:p>
            <w:pPr>
              <w:pStyle w:val="null3"/>
            </w:pPr>
            <w:r>
              <w:rPr>
                <w:rFonts w:ascii="仿宋_GB2312" w:hAnsi="仿宋_GB2312" w:cs="仿宋_GB2312" w:eastAsia="仿宋_GB2312"/>
              </w:rPr>
              <w:t>韩城市</w:t>
            </w:r>
            <w:r>
              <w:rPr>
                <w:rFonts w:ascii="仿宋_GB2312" w:hAnsi="仿宋_GB2312" w:cs="仿宋_GB2312" w:eastAsia="仿宋_GB2312"/>
              </w:rPr>
              <w:t>2024年度林业有害生物综合防治项目主要位于薛峰林区峰川管护区峰川村段，经对薛峰林场侧柏林、白皮松林病虫害发生状况进行了调查，涉及样地 5个，调查了林木生长状况、病虫害危害情况，结合走访调查和会议座谈形式了解了树木病虫害发生过程和管理措施等情况，经过专家鉴定，主要发生病害主要为侧柏叶枯病和白皮松落针病。</w:t>
            </w:r>
          </w:p>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）防治原则</w:t>
            </w:r>
          </w:p>
          <w:p>
            <w:pPr>
              <w:pStyle w:val="null3"/>
            </w:pPr>
            <w:r>
              <w:rPr>
                <w:rFonts w:ascii="仿宋_GB2312" w:hAnsi="仿宋_GB2312" w:cs="仿宋_GB2312" w:eastAsia="仿宋_GB2312"/>
              </w:rPr>
              <w:t>1.坚持突出重点、因地制宜、综合防治的原则。根据防治区的林木病害分布现状，突出重点，合理区划，以求达到最佳的防治效果。</w:t>
            </w:r>
          </w:p>
          <w:p>
            <w:pPr>
              <w:pStyle w:val="null3"/>
            </w:pPr>
            <w:r>
              <w:rPr>
                <w:rFonts w:ascii="仿宋_GB2312" w:hAnsi="仿宋_GB2312" w:cs="仿宋_GB2312" w:eastAsia="仿宋_GB2312"/>
              </w:rPr>
              <w:t>2.坚持科学、经济、高效的原则。科学合理设计，在保证取得最佳防治效果的同时，又能减少防治成本。</w:t>
            </w:r>
          </w:p>
          <w:p>
            <w:pPr>
              <w:pStyle w:val="null3"/>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）工作目标</w:t>
            </w:r>
          </w:p>
          <w:p>
            <w:pPr>
              <w:pStyle w:val="null3"/>
            </w:pPr>
            <w:r>
              <w:rPr>
                <w:rFonts w:ascii="仿宋_GB2312" w:hAnsi="仿宋_GB2312" w:cs="仿宋_GB2312" w:eastAsia="仿宋_GB2312"/>
              </w:rPr>
              <w:t>林业有害生物防治工作，主要是通过</w:t>
            </w:r>
            <w:r>
              <w:rPr>
                <w:rFonts w:ascii="仿宋_GB2312" w:hAnsi="仿宋_GB2312" w:cs="仿宋_GB2312" w:eastAsia="仿宋_GB2312"/>
              </w:rPr>
              <w:t>无人机</w:t>
            </w:r>
            <w:r>
              <w:rPr>
                <w:rFonts w:ascii="仿宋_GB2312" w:hAnsi="仿宋_GB2312" w:cs="仿宋_GB2312" w:eastAsia="仿宋_GB2312"/>
              </w:rPr>
              <w:t>空中喷洒药物对薛峰林区发生的侧柏叶枯病和白皮松落针病</w:t>
            </w:r>
            <w:r>
              <w:rPr>
                <w:rFonts w:ascii="仿宋_GB2312" w:hAnsi="仿宋_GB2312" w:cs="仿宋_GB2312" w:eastAsia="仿宋_GB2312"/>
              </w:rPr>
              <w:t>1.2</w:t>
            </w:r>
            <w:r>
              <w:rPr>
                <w:rFonts w:ascii="仿宋_GB2312" w:hAnsi="仿宋_GB2312" w:cs="仿宋_GB2312" w:eastAsia="仿宋_GB2312"/>
              </w:rPr>
              <w:t>万亩进行防治力争通过防治实现对各类病虫害的有效控制。</w:t>
            </w:r>
          </w:p>
          <w:p>
            <w:pPr>
              <w:pStyle w:val="null3"/>
            </w:pPr>
            <w:r>
              <w:rPr>
                <w:rFonts w:ascii="仿宋_GB2312" w:hAnsi="仿宋_GB2312" w:cs="仿宋_GB2312" w:eastAsia="仿宋_GB2312"/>
                <w:b/>
              </w:rPr>
              <w:t>（</w:t>
            </w:r>
            <w:r>
              <w:rPr>
                <w:rFonts w:ascii="仿宋_GB2312" w:hAnsi="仿宋_GB2312" w:cs="仿宋_GB2312" w:eastAsia="仿宋_GB2312"/>
                <w:b/>
              </w:rPr>
              <w:t>五）</w:t>
            </w:r>
            <w:r>
              <w:rPr>
                <w:rFonts w:ascii="仿宋_GB2312" w:hAnsi="仿宋_GB2312" w:cs="仿宋_GB2312" w:eastAsia="仿宋_GB2312"/>
                <w:b/>
              </w:rPr>
              <w:t>项目建设内容</w:t>
            </w:r>
          </w:p>
          <w:p>
            <w:pPr>
              <w:pStyle w:val="null3"/>
            </w:pPr>
            <w:r>
              <w:rPr>
                <w:rFonts w:ascii="仿宋_GB2312" w:hAnsi="仿宋_GB2312" w:cs="仿宋_GB2312" w:eastAsia="仿宋_GB2312"/>
              </w:rPr>
              <w:t>1．林业有害生物防治作业</w:t>
            </w:r>
          </w:p>
          <w:p>
            <w:pPr>
              <w:pStyle w:val="null3"/>
            </w:pPr>
            <w:r>
              <w:rPr>
                <w:rFonts w:ascii="仿宋_GB2312" w:hAnsi="仿宋_GB2312" w:cs="仿宋_GB2312" w:eastAsia="仿宋_GB2312"/>
              </w:rPr>
              <w:t>1.1作业范围和面积</w:t>
            </w:r>
          </w:p>
          <w:p>
            <w:pPr>
              <w:pStyle w:val="null3"/>
            </w:pPr>
            <w:r>
              <w:rPr>
                <w:rFonts w:ascii="仿宋_GB2312" w:hAnsi="仿宋_GB2312" w:cs="仿宋_GB2312" w:eastAsia="仿宋_GB2312"/>
              </w:rPr>
              <w:t>韩城市</w:t>
            </w:r>
            <w:r>
              <w:rPr>
                <w:rFonts w:ascii="仿宋_GB2312" w:hAnsi="仿宋_GB2312" w:cs="仿宋_GB2312" w:eastAsia="仿宋_GB2312"/>
              </w:rPr>
              <w:t>2024年林业有害生物综合防治项目作业</w:t>
            </w:r>
            <w:r>
              <w:rPr>
                <w:rFonts w:ascii="仿宋_GB2312" w:hAnsi="仿宋_GB2312" w:cs="仿宋_GB2312" w:eastAsia="仿宋_GB2312"/>
              </w:rPr>
              <w:t>1.2</w:t>
            </w:r>
            <w:r>
              <w:rPr>
                <w:rFonts w:ascii="仿宋_GB2312" w:hAnsi="仿宋_GB2312" w:cs="仿宋_GB2312" w:eastAsia="仿宋_GB2312"/>
              </w:rPr>
              <w:t>万亩</w:t>
            </w:r>
            <w:r>
              <w:rPr>
                <w:rFonts w:ascii="仿宋_GB2312" w:hAnsi="仿宋_GB2312" w:cs="仿宋_GB2312" w:eastAsia="仿宋_GB2312"/>
              </w:rPr>
              <w:t>，</w:t>
            </w:r>
            <w:r>
              <w:rPr>
                <w:rFonts w:ascii="仿宋_GB2312" w:hAnsi="仿宋_GB2312" w:cs="仿宋_GB2312" w:eastAsia="仿宋_GB2312"/>
              </w:rPr>
              <w:t>飞防</w:t>
            </w:r>
            <w:r>
              <w:rPr>
                <w:rFonts w:ascii="仿宋_GB2312" w:hAnsi="仿宋_GB2312" w:cs="仿宋_GB2312" w:eastAsia="仿宋_GB2312"/>
              </w:rPr>
              <w:t>2</w:t>
            </w:r>
            <w:r>
              <w:rPr>
                <w:rFonts w:ascii="仿宋_GB2312" w:hAnsi="仿宋_GB2312" w:cs="仿宋_GB2312" w:eastAsia="仿宋_GB2312"/>
              </w:rPr>
              <w:t>次，</w:t>
            </w:r>
            <w:r>
              <w:rPr>
                <w:rFonts w:ascii="仿宋_GB2312" w:hAnsi="仿宋_GB2312" w:cs="仿宋_GB2312" w:eastAsia="仿宋_GB2312"/>
              </w:rPr>
              <w:t>位置为</w:t>
            </w:r>
            <w:r>
              <w:rPr>
                <w:rFonts w:ascii="仿宋_GB2312" w:hAnsi="仿宋_GB2312" w:cs="仿宋_GB2312" w:eastAsia="仿宋_GB2312"/>
              </w:rPr>
              <w:t>薛峰</w:t>
            </w:r>
            <w:r>
              <w:rPr>
                <w:rFonts w:ascii="仿宋_GB2312" w:hAnsi="仿宋_GB2312" w:cs="仿宋_GB2312" w:eastAsia="仿宋_GB2312"/>
              </w:rPr>
              <w:t>林场峰川管护区峰川村段，主要防治</w:t>
            </w:r>
            <w:r>
              <w:rPr>
                <w:rFonts w:ascii="仿宋_GB2312" w:hAnsi="仿宋_GB2312" w:cs="仿宋_GB2312" w:eastAsia="仿宋_GB2312"/>
              </w:rPr>
              <w:t>松林发生侧柏叶枯病和松树落针病</w:t>
            </w:r>
            <w:r>
              <w:rPr>
                <w:rFonts w:ascii="仿宋_GB2312" w:hAnsi="仿宋_GB2312" w:cs="仿宋_GB2312" w:eastAsia="仿宋_GB2312"/>
              </w:rPr>
              <w:t>。</w:t>
            </w:r>
          </w:p>
          <w:p>
            <w:pPr>
              <w:pStyle w:val="null3"/>
            </w:pPr>
            <w:r>
              <w:rPr>
                <w:rFonts w:ascii="仿宋_GB2312" w:hAnsi="仿宋_GB2312" w:cs="仿宋_GB2312" w:eastAsia="仿宋_GB2312"/>
              </w:rPr>
              <w:t>1.2防治作业时间</w:t>
            </w:r>
          </w:p>
          <w:p>
            <w:pPr>
              <w:pStyle w:val="null3"/>
            </w:pPr>
            <w:r>
              <w:rPr>
                <w:rFonts w:ascii="仿宋_GB2312" w:hAnsi="仿宋_GB2312" w:cs="仿宋_GB2312" w:eastAsia="仿宋_GB2312"/>
              </w:rPr>
              <w:t>综合考虑侧柏叶枯病、白皮松落针病等病虫害的发病规律，根据韩城市气候条件及专家意见，防治时间初步确定在</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4月下旬开始防治两次，每次间隔15</w:t>
            </w:r>
            <w:r>
              <w:rPr>
                <w:rFonts w:ascii="仿宋_GB2312" w:hAnsi="仿宋_GB2312" w:cs="仿宋_GB2312" w:eastAsia="仿宋_GB2312"/>
              </w:rPr>
              <w:t>天。</w:t>
            </w:r>
          </w:p>
          <w:p>
            <w:pPr>
              <w:pStyle w:val="null3"/>
            </w:pPr>
            <w:r>
              <w:rPr>
                <w:rFonts w:ascii="仿宋_GB2312" w:hAnsi="仿宋_GB2312" w:cs="仿宋_GB2312" w:eastAsia="仿宋_GB2312"/>
              </w:rPr>
              <w:t>1.3药物选择及药量设计</w:t>
            </w:r>
          </w:p>
          <w:p>
            <w:pPr>
              <w:pStyle w:val="null3"/>
            </w:pPr>
            <w:r>
              <w:rPr>
                <w:rFonts w:ascii="仿宋_GB2312" w:hAnsi="仿宋_GB2312" w:cs="仿宋_GB2312" w:eastAsia="仿宋_GB2312"/>
              </w:rPr>
              <w:t>（</w:t>
            </w:r>
            <w:r>
              <w:rPr>
                <w:rFonts w:ascii="仿宋_GB2312" w:hAnsi="仿宋_GB2312" w:cs="仿宋_GB2312" w:eastAsia="仿宋_GB2312"/>
              </w:rPr>
              <w:t>1）药物选择</w:t>
            </w:r>
          </w:p>
          <w:p>
            <w:pPr>
              <w:pStyle w:val="null3"/>
            </w:pPr>
            <w:r>
              <w:rPr>
                <w:rFonts w:ascii="仿宋_GB2312" w:hAnsi="仿宋_GB2312" w:cs="仿宋_GB2312" w:eastAsia="仿宋_GB2312"/>
              </w:rPr>
              <w:t>本次飞防白皮松松落针病和侧柏叶枯病的防治采用高效杀菌剂：</w:t>
            </w:r>
          </w:p>
          <w:p>
            <w:pPr>
              <w:pStyle w:val="null3"/>
            </w:pPr>
            <w:r>
              <w:rPr>
                <w:rFonts w:ascii="仿宋_GB2312" w:hAnsi="仿宋_GB2312" w:cs="仿宋_GB2312" w:eastAsia="仿宋_GB2312"/>
              </w:rPr>
              <w:t>①430克/升戊唑醇悬浮剂加450克/升咪鲜胺水乳剂；</w:t>
            </w:r>
          </w:p>
          <w:p>
            <w:pPr>
              <w:pStyle w:val="null3"/>
            </w:pPr>
            <w:r>
              <w:rPr>
                <w:rFonts w:ascii="仿宋_GB2312" w:hAnsi="仿宋_GB2312" w:cs="仿宋_GB2312" w:eastAsia="仿宋_GB2312"/>
              </w:rPr>
              <w:t>②40%苯醚甲环唑悬浮剂加50%甲基硫菌灵悬浮剂；</w:t>
            </w:r>
          </w:p>
          <w:p>
            <w:pPr>
              <w:pStyle w:val="null3"/>
            </w:pPr>
            <w:r>
              <w:rPr>
                <w:rFonts w:ascii="仿宋_GB2312" w:hAnsi="仿宋_GB2312" w:cs="仿宋_GB2312" w:eastAsia="仿宋_GB2312"/>
              </w:rPr>
              <w:t>（</w:t>
            </w:r>
            <w:r>
              <w:rPr>
                <w:rFonts w:ascii="仿宋_GB2312" w:hAnsi="仿宋_GB2312" w:cs="仿宋_GB2312" w:eastAsia="仿宋_GB2312"/>
              </w:rPr>
              <w:t>2）药量设计及药物需用量</w:t>
            </w:r>
          </w:p>
          <w:p>
            <w:pPr>
              <w:pStyle w:val="null3"/>
            </w:pPr>
            <w:r>
              <w:rPr>
                <w:rFonts w:ascii="仿宋_GB2312" w:hAnsi="仿宋_GB2312" w:cs="仿宋_GB2312" w:eastAsia="仿宋_GB2312"/>
              </w:rPr>
              <w:t>①每亩用量</w:t>
            </w:r>
          </w:p>
          <w:p>
            <w:pPr>
              <w:pStyle w:val="null3"/>
            </w:pPr>
            <w:r>
              <w:rPr>
                <w:rFonts w:ascii="仿宋_GB2312" w:hAnsi="仿宋_GB2312" w:cs="仿宋_GB2312" w:eastAsia="仿宋_GB2312"/>
              </w:rPr>
              <w:t>每亩喷洒用药量：</w:t>
            </w:r>
            <w:r>
              <w:rPr>
                <w:rFonts w:ascii="仿宋_GB2312" w:hAnsi="仿宋_GB2312" w:cs="仿宋_GB2312" w:eastAsia="仿宋_GB2312"/>
              </w:rPr>
              <w:t>430克/升戊唑醇每亩60克，450克/升咪鲜胺每亩60克</w:t>
            </w:r>
            <w:r>
              <w:rPr>
                <w:rFonts w:ascii="仿宋_GB2312" w:hAnsi="仿宋_GB2312" w:cs="仿宋_GB2312" w:eastAsia="仿宋_GB2312"/>
              </w:rPr>
              <w:t>，</w:t>
            </w:r>
            <w:r>
              <w:rPr>
                <w:rFonts w:ascii="仿宋_GB2312" w:hAnsi="仿宋_GB2312" w:cs="仿宋_GB2312" w:eastAsia="仿宋_GB2312"/>
              </w:rPr>
              <w:t>40%苯醚甲环唑悬浮剂</w:t>
            </w:r>
            <w:r>
              <w:rPr>
                <w:rFonts w:ascii="仿宋_GB2312" w:hAnsi="仿宋_GB2312" w:cs="仿宋_GB2312" w:eastAsia="仿宋_GB2312"/>
              </w:rPr>
              <w:t>每亩</w:t>
            </w:r>
            <w:r>
              <w:rPr>
                <w:rFonts w:ascii="仿宋_GB2312" w:hAnsi="仿宋_GB2312" w:cs="仿宋_GB2312" w:eastAsia="仿宋_GB2312"/>
              </w:rPr>
              <w:t>60克，</w:t>
            </w:r>
            <w:r>
              <w:rPr>
                <w:rFonts w:ascii="仿宋_GB2312" w:hAnsi="仿宋_GB2312" w:cs="仿宋_GB2312" w:eastAsia="仿宋_GB2312"/>
              </w:rPr>
              <w:t>50%甲基硫菌灵悬浮剂</w:t>
            </w:r>
            <w:r>
              <w:rPr>
                <w:rFonts w:ascii="仿宋_GB2312" w:hAnsi="仿宋_GB2312" w:cs="仿宋_GB2312" w:eastAsia="仿宋_GB2312"/>
              </w:rPr>
              <w:t>每亩</w:t>
            </w:r>
            <w:r>
              <w:rPr>
                <w:rFonts w:ascii="仿宋_GB2312" w:hAnsi="仿宋_GB2312" w:cs="仿宋_GB2312" w:eastAsia="仿宋_GB2312"/>
              </w:rPr>
              <w:t>60克，</w:t>
            </w:r>
            <w:r>
              <w:rPr>
                <w:rFonts w:ascii="仿宋_GB2312" w:hAnsi="仿宋_GB2312" w:cs="仿宋_GB2312" w:eastAsia="仿宋_GB2312"/>
              </w:rPr>
              <w:t>每种农药每亩</w:t>
            </w:r>
            <w:r>
              <w:rPr>
                <w:rFonts w:ascii="仿宋_GB2312" w:hAnsi="仿宋_GB2312" w:cs="仿宋_GB2312" w:eastAsia="仿宋_GB2312"/>
              </w:rPr>
              <w:t>均为</w:t>
            </w:r>
            <w:r>
              <w:rPr>
                <w:rFonts w:ascii="仿宋_GB2312" w:hAnsi="仿宋_GB2312" w:cs="仿宋_GB2312" w:eastAsia="仿宋_GB2312"/>
              </w:rPr>
              <w:t>60克。</w:t>
            </w:r>
          </w:p>
          <w:p>
            <w:pPr>
              <w:pStyle w:val="null3"/>
            </w:pPr>
            <w:r>
              <w:rPr>
                <w:rFonts w:ascii="仿宋_GB2312" w:hAnsi="仿宋_GB2312" w:cs="仿宋_GB2312" w:eastAsia="仿宋_GB2312"/>
              </w:rPr>
              <w:t>②药物需用量</w:t>
            </w:r>
          </w:p>
          <w:p>
            <w:pPr>
              <w:pStyle w:val="null3"/>
            </w:pPr>
            <w:r>
              <w:rPr>
                <w:rFonts w:ascii="仿宋_GB2312" w:hAnsi="仿宋_GB2312" w:cs="仿宋_GB2312" w:eastAsia="仿宋_GB2312"/>
              </w:rPr>
              <w:t>第一次防治面积</w:t>
            </w:r>
            <w:r>
              <w:rPr>
                <w:rFonts w:ascii="仿宋_GB2312" w:hAnsi="仿宋_GB2312" w:cs="仿宋_GB2312" w:eastAsia="仿宋_GB2312"/>
              </w:rPr>
              <w:t>1.2</w:t>
            </w:r>
            <w:r>
              <w:rPr>
                <w:rFonts w:ascii="仿宋_GB2312" w:hAnsi="仿宋_GB2312" w:cs="仿宋_GB2312" w:eastAsia="仿宋_GB2312"/>
              </w:rPr>
              <w:t>万亩，共需戊唑醇</w:t>
            </w:r>
            <w:r>
              <w:rPr>
                <w:rFonts w:ascii="仿宋_GB2312" w:hAnsi="仿宋_GB2312" w:cs="仿宋_GB2312" w:eastAsia="仿宋_GB2312"/>
              </w:rPr>
              <w:t>720千克</w:t>
            </w:r>
            <w:r>
              <w:rPr>
                <w:rFonts w:ascii="仿宋_GB2312" w:hAnsi="仿宋_GB2312" w:cs="仿宋_GB2312" w:eastAsia="仿宋_GB2312"/>
              </w:rPr>
              <w:t>，咪鲜胺农药</w:t>
            </w:r>
            <w:r>
              <w:rPr>
                <w:rFonts w:ascii="仿宋_GB2312" w:hAnsi="仿宋_GB2312" w:cs="仿宋_GB2312" w:eastAsia="仿宋_GB2312"/>
              </w:rPr>
              <w:t>720千克</w:t>
            </w:r>
            <w:r>
              <w:rPr>
                <w:rFonts w:ascii="仿宋_GB2312" w:hAnsi="仿宋_GB2312" w:cs="仿宋_GB2312" w:eastAsia="仿宋_GB2312"/>
              </w:rPr>
              <w:t>。</w:t>
            </w:r>
          </w:p>
          <w:p>
            <w:pPr>
              <w:pStyle w:val="null3"/>
            </w:pPr>
            <w:r>
              <w:rPr>
                <w:rFonts w:ascii="仿宋_GB2312" w:hAnsi="仿宋_GB2312" w:cs="仿宋_GB2312" w:eastAsia="仿宋_GB2312"/>
              </w:rPr>
              <w:t>第二次飞机防治面积</w:t>
            </w:r>
            <w:r>
              <w:rPr>
                <w:rFonts w:ascii="仿宋_GB2312" w:hAnsi="仿宋_GB2312" w:cs="仿宋_GB2312" w:eastAsia="仿宋_GB2312"/>
              </w:rPr>
              <w:t>1.2</w:t>
            </w:r>
            <w:r>
              <w:rPr>
                <w:rFonts w:ascii="仿宋_GB2312" w:hAnsi="仿宋_GB2312" w:cs="仿宋_GB2312" w:eastAsia="仿宋_GB2312"/>
              </w:rPr>
              <w:t>万亩，共需苯醚甲环唑</w:t>
            </w:r>
            <w:r>
              <w:rPr>
                <w:rFonts w:ascii="仿宋_GB2312" w:hAnsi="仿宋_GB2312" w:cs="仿宋_GB2312" w:eastAsia="仿宋_GB2312"/>
              </w:rPr>
              <w:t>720千克</w:t>
            </w:r>
            <w:r>
              <w:rPr>
                <w:rFonts w:ascii="仿宋_GB2312" w:hAnsi="仿宋_GB2312" w:cs="仿宋_GB2312" w:eastAsia="仿宋_GB2312"/>
              </w:rPr>
              <w:t>，甲基托布津农药</w:t>
            </w:r>
            <w:r>
              <w:rPr>
                <w:rFonts w:ascii="仿宋_GB2312" w:hAnsi="仿宋_GB2312" w:cs="仿宋_GB2312" w:eastAsia="仿宋_GB2312"/>
              </w:rPr>
              <w:t>720千克</w:t>
            </w:r>
            <w:r>
              <w:rPr>
                <w:rFonts w:ascii="仿宋_GB2312" w:hAnsi="仿宋_GB2312" w:cs="仿宋_GB2312" w:eastAsia="仿宋_GB2312"/>
              </w:rPr>
              <w:t>。</w:t>
            </w:r>
          </w:p>
          <w:p>
            <w:pPr>
              <w:pStyle w:val="null3"/>
            </w:pPr>
            <w:r>
              <w:rPr>
                <w:rFonts w:ascii="仿宋_GB2312" w:hAnsi="仿宋_GB2312" w:cs="仿宋_GB2312" w:eastAsia="仿宋_GB2312"/>
                <w:b/>
              </w:rPr>
              <w:t>（</w:t>
            </w:r>
            <w:r>
              <w:rPr>
                <w:rFonts w:ascii="仿宋_GB2312" w:hAnsi="仿宋_GB2312" w:cs="仿宋_GB2312" w:eastAsia="仿宋_GB2312"/>
                <w:b/>
              </w:rPr>
              <w:t>六</w:t>
            </w:r>
            <w:r>
              <w:rPr>
                <w:rFonts w:ascii="仿宋_GB2312" w:hAnsi="仿宋_GB2312" w:cs="仿宋_GB2312" w:eastAsia="仿宋_GB2312"/>
                <w:b/>
              </w:rPr>
              <w:t>）项目参加人员及分工</w:t>
            </w:r>
          </w:p>
          <w:p>
            <w:pPr>
              <w:pStyle w:val="null3"/>
            </w:pPr>
            <w:r>
              <w:rPr>
                <w:rFonts w:ascii="仿宋_GB2312" w:hAnsi="仿宋_GB2312" w:cs="仿宋_GB2312" w:eastAsia="仿宋_GB2312"/>
              </w:rPr>
              <w:t>项目</w:t>
            </w:r>
            <w:r>
              <w:rPr>
                <w:rFonts w:ascii="仿宋_GB2312" w:hAnsi="仿宋_GB2312" w:cs="仿宋_GB2312" w:eastAsia="仿宋_GB2312"/>
              </w:rPr>
              <w:t>主要参与人员以韩城市林木病虫防治检疫站、薛峰林场的职工</w:t>
            </w:r>
            <w:r>
              <w:rPr>
                <w:rFonts w:ascii="仿宋_GB2312" w:hAnsi="仿宋_GB2312" w:cs="仿宋_GB2312" w:eastAsia="仿宋_GB2312"/>
              </w:rPr>
              <w:t>及第三方技术人员</w:t>
            </w:r>
            <w:r>
              <w:rPr>
                <w:rFonts w:ascii="仿宋_GB2312" w:hAnsi="仿宋_GB2312" w:cs="仿宋_GB2312" w:eastAsia="仿宋_GB2312"/>
              </w:rPr>
              <w:t>为主，提供具体技术</w:t>
            </w:r>
            <w:r>
              <w:rPr>
                <w:rFonts w:ascii="仿宋_GB2312" w:hAnsi="仿宋_GB2312" w:cs="仿宋_GB2312" w:eastAsia="仿宋_GB2312"/>
              </w:rPr>
              <w:t>和后勤保障</w:t>
            </w:r>
            <w:r>
              <w:rPr>
                <w:rFonts w:ascii="仿宋_GB2312" w:hAnsi="仿宋_GB2312" w:cs="仿宋_GB2312" w:eastAsia="仿宋_GB2312"/>
              </w:rPr>
              <w:t>措施，共同参与项目的实施。</w:t>
            </w:r>
          </w:p>
          <w:p>
            <w:pPr>
              <w:pStyle w:val="null3"/>
            </w:pPr>
            <w:r>
              <w:rPr>
                <w:rFonts w:ascii="仿宋_GB2312" w:hAnsi="仿宋_GB2312" w:cs="仿宋_GB2312" w:eastAsia="仿宋_GB2312"/>
                <w:b/>
              </w:rPr>
              <w:t>（七）飞防实施</w:t>
            </w:r>
          </w:p>
          <w:p>
            <w:pPr>
              <w:pStyle w:val="null3"/>
            </w:pPr>
            <w:r>
              <w:rPr>
                <w:rFonts w:ascii="仿宋_GB2312" w:hAnsi="仿宋_GB2312" w:cs="仿宋_GB2312" w:eastAsia="仿宋_GB2312"/>
              </w:rPr>
              <w:t>无人机防治分为飞防前期准备阶段、飞防实施阶段、飞防安全措施三个方面。</w:t>
            </w:r>
          </w:p>
          <w:p>
            <w:pPr>
              <w:pStyle w:val="null3"/>
            </w:pPr>
            <w:r>
              <w:rPr>
                <w:rFonts w:ascii="仿宋_GB2312" w:hAnsi="仿宋_GB2312" w:cs="仿宋_GB2312" w:eastAsia="仿宋_GB2312"/>
              </w:rPr>
              <w:t>1.</w:t>
            </w:r>
            <w:r>
              <w:rPr>
                <w:rFonts w:ascii="仿宋_GB2312" w:hAnsi="仿宋_GB2312" w:cs="仿宋_GB2312" w:eastAsia="仿宋_GB2312"/>
              </w:rPr>
              <w:t>飞防前期准备阶段</w:t>
            </w:r>
          </w:p>
          <w:p>
            <w:pPr>
              <w:pStyle w:val="null3"/>
            </w:pPr>
            <w:r>
              <w:rPr>
                <w:rFonts w:ascii="仿宋_GB2312" w:hAnsi="仿宋_GB2312" w:cs="仿宋_GB2312" w:eastAsia="仿宋_GB2312"/>
              </w:rPr>
              <w:t>①飞防前期调查</w:t>
            </w:r>
          </w:p>
          <w:p>
            <w:pPr>
              <w:pStyle w:val="null3"/>
            </w:pPr>
            <w:r>
              <w:rPr>
                <w:rFonts w:ascii="仿宋_GB2312" w:hAnsi="仿宋_GB2312" w:cs="仿宋_GB2312" w:eastAsia="仿宋_GB2312"/>
              </w:rPr>
              <w:t>飞防前期准备，主要做好三方面的工作，分别是：地形气候调查、飞防区域测量、禁飞区避让区调查。</w:t>
            </w:r>
          </w:p>
          <w:p>
            <w:pPr>
              <w:pStyle w:val="null3"/>
            </w:pPr>
            <w:r>
              <w:rPr>
                <w:rFonts w:ascii="仿宋_GB2312" w:hAnsi="仿宋_GB2312" w:cs="仿宋_GB2312" w:eastAsia="仿宋_GB2312"/>
              </w:rPr>
              <w:t>根据防治区域的前期踏查和虫情调查情况，飞防实施单位专业技术人员使用专业测绘无人机对各防治作业区进行准确测绘，生成三维地形图，区划作业小班，编绘项目作业设计和施工作业图。对飞防区域内的养蚕、养虾、养鱼、养蜂等养殖区及高压电线杆、高塔等高大建筑物准确四点定位，绘制详细的飞防区、禁飞区、避让区坐标点。</w:t>
            </w:r>
          </w:p>
          <w:p>
            <w:pPr>
              <w:pStyle w:val="null3"/>
            </w:pPr>
            <w:r>
              <w:rPr>
                <w:rFonts w:ascii="仿宋_GB2312" w:hAnsi="仿宋_GB2312" w:cs="仿宋_GB2312" w:eastAsia="仿宋_GB2312"/>
              </w:rPr>
              <w:t>②机型选择</w:t>
            </w:r>
          </w:p>
          <w:p>
            <w:pPr>
              <w:pStyle w:val="null3"/>
            </w:pPr>
            <w:r>
              <w:rPr>
                <w:rFonts w:ascii="仿宋_GB2312" w:hAnsi="仿宋_GB2312" w:cs="仿宋_GB2312" w:eastAsia="仿宋_GB2312"/>
              </w:rPr>
              <w:t>2个</w:t>
            </w:r>
            <w:r>
              <w:rPr>
                <w:rFonts w:ascii="仿宋_GB2312" w:hAnsi="仿宋_GB2312" w:cs="仿宋_GB2312" w:eastAsia="仿宋_GB2312"/>
              </w:rPr>
              <w:t>以上</w:t>
            </w:r>
            <w:r>
              <w:rPr>
                <w:rFonts w:ascii="仿宋_GB2312" w:hAnsi="仿宋_GB2312" w:cs="仿宋_GB2312" w:eastAsia="仿宋_GB2312"/>
              </w:rPr>
              <w:t>离心喷头，最大起飞重量</w:t>
            </w:r>
            <w:r>
              <w:rPr>
                <w:rFonts w:ascii="仿宋_GB2312" w:hAnsi="仿宋_GB2312" w:cs="仿宋_GB2312" w:eastAsia="仿宋_GB2312"/>
              </w:rPr>
              <w:t>≥50公斤，最大承载量的情况下每次飞行时间≥5分钟，飞行速度≥4.5M/S，飞行高度≥3米左右（相对树冠），有效喷幅≥</w:t>
            </w:r>
            <w:r>
              <w:rPr>
                <w:rFonts w:ascii="仿宋_GB2312" w:hAnsi="仿宋_GB2312" w:cs="仿宋_GB2312" w:eastAsia="仿宋_GB2312"/>
              </w:rPr>
              <w:t>8</w:t>
            </w:r>
            <w:r>
              <w:rPr>
                <w:rFonts w:ascii="仿宋_GB2312" w:hAnsi="仿宋_GB2312" w:cs="仿宋_GB2312" w:eastAsia="仿宋_GB2312"/>
              </w:rPr>
              <w:t>米，正常情况下</w:t>
            </w:r>
            <w:r>
              <w:rPr>
                <w:rFonts w:ascii="仿宋_GB2312" w:hAnsi="仿宋_GB2312" w:cs="仿宋_GB2312" w:eastAsia="仿宋_GB2312"/>
              </w:rPr>
              <w:t>1架无人机1天可作业≥600-800亩。</w:t>
            </w:r>
          </w:p>
          <w:p>
            <w:pPr>
              <w:pStyle w:val="null3"/>
            </w:pPr>
            <w:r>
              <w:rPr>
                <w:rFonts w:ascii="仿宋_GB2312" w:hAnsi="仿宋_GB2312" w:cs="仿宋_GB2312" w:eastAsia="仿宋_GB2312"/>
              </w:rPr>
              <w:t>③确定机型</w:t>
            </w:r>
          </w:p>
          <w:p>
            <w:pPr>
              <w:pStyle w:val="null3"/>
            </w:pPr>
            <w:r>
              <w:rPr>
                <w:rFonts w:ascii="仿宋_GB2312" w:hAnsi="仿宋_GB2312" w:cs="仿宋_GB2312" w:eastAsia="仿宋_GB2312"/>
              </w:rPr>
              <w:t>根据山区现地情况，飞防的距离与范围，防治时间的要求，选定目前社会主流</w:t>
            </w:r>
            <w:r>
              <w:rPr>
                <w:rFonts w:ascii="仿宋_GB2312" w:hAnsi="仿宋_GB2312" w:cs="仿宋_GB2312" w:eastAsia="仿宋_GB2312"/>
              </w:rPr>
              <w:t>防治</w:t>
            </w:r>
            <w:r>
              <w:rPr>
                <w:rFonts w:ascii="仿宋_GB2312" w:hAnsi="仿宋_GB2312" w:cs="仿宋_GB2312" w:eastAsia="仿宋_GB2312"/>
              </w:rPr>
              <w:t>无人机。能够采用三维数字仿地功能、自主规划航线技术。可避免人工手动操作，出现喷洒不均匀情况，确保飞防任务完成和实际效果。</w:t>
            </w:r>
          </w:p>
          <w:p>
            <w:pPr>
              <w:pStyle w:val="null3"/>
            </w:pPr>
            <w:r>
              <w:rPr>
                <w:rFonts w:ascii="仿宋_GB2312" w:hAnsi="仿宋_GB2312" w:cs="仿宋_GB2312" w:eastAsia="仿宋_GB2312"/>
              </w:rPr>
              <w:t>2.</w:t>
            </w:r>
            <w:r>
              <w:rPr>
                <w:rFonts w:ascii="仿宋_GB2312" w:hAnsi="仿宋_GB2312" w:cs="仿宋_GB2312" w:eastAsia="仿宋_GB2312"/>
              </w:rPr>
              <w:t>飞防实施阶段</w:t>
            </w:r>
          </w:p>
          <w:p>
            <w:pPr>
              <w:pStyle w:val="null3"/>
            </w:pPr>
            <w:r>
              <w:rPr>
                <w:rFonts w:ascii="仿宋_GB2312" w:hAnsi="仿宋_GB2312" w:cs="仿宋_GB2312" w:eastAsia="仿宋_GB2312"/>
              </w:rPr>
              <w:t>①选择最佳气象条件</w:t>
            </w:r>
          </w:p>
          <w:p>
            <w:pPr>
              <w:pStyle w:val="null3"/>
            </w:pPr>
            <w:r>
              <w:rPr>
                <w:rFonts w:ascii="仿宋_GB2312" w:hAnsi="仿宋_GB2312" w:cs="仿宋_GB2312" w:eastAsia="仿宋_GB2312"/>
              </w:rPr>
              <w:t>飞防前应由当地气象部门提供可靠的飞防的气象资料。根据无人机的机身结构、材料和性能，以及超低空飞行喷药的特点，确保无人机安全飞行。飞行的适宜天气条件如下：</w:t>
            </w:r>
          </w:p>
          <w:p>
            <w:pPr>
              <w:pStyle w:val="null3"/>
            </w:pPr>
            <w:r>
              <w:rPr>
                <w:rFonts w:ascii="仿宋_GB2312" w:hAnsi="仿宋_GB2312" w:cs="仿宋_GB2312" w:eastAsia="仿宋_GB2312"/>
              </w:rPr>
              <w:t>无雨：无人机起落、飞行和喷药期间不得下雨。为避免飞防</w:t>
            </w:r>
            <w:r>
              <w:rPr>
                <w:rFonts w:ascii="仿宋_GB2312" w:hAnsi="仿宋_GB2312" w:cs="仿宋_GB2312" w:eastAsia="仿宋_GB2312"/>
              </w:rPr>
              <w:t>24小时后遇雨，加入沉降剂，确保药滴快速渗透吸收，提高药效。</w:t>
            </w:r>
          </w:p>
          <w:p>
            <w:pPr>
              <w:pStyle w:val="null3"/>
            </w:pPr>
            <w:r>
              <w:rPr>
                <w:rFonts w:ascii="仿宋_GB2312" w:hAnsi="仿宋_GB2312" w:cs="仿宋_GB2312" w:eastAsia="仿宋_GB2312"/>
              </w:rPr>
              <w:t>无雾或薄雾，能见度高：由于作业无人机依靠</w:t>
            </w:r>
            <w:r>
              <w:rPr>
                <w:rFonts w:ascii="仿宋_GB2312" w:hAnsi="仿宋_GB2312" w:cs="仿宋_GB2312" w:eastAsia="仿宋_GB2312"/>
              </w:rPr>
              <w:t>GPS卫星定位导航到达作业地点，喷药时依靠GPS定位与无人机操作员目视飞行相结合判断作业区域和范围，一般不设地面人工标位，因此要求飞行路线和飞行作业区视线清晰。能见度大于1000m，空中施药实践中以裸眼观察无云雾弥漫、轮廓清晰为适宜飞行作业天气。</w:t>
            </w:r>
          </w:p>
          <w:p>
            <w:pPr>
              <w:pStyle w:val="null3"/>
            </w:pPr>
            <w:r>
              <w:rPr>
                <w:rFonts w:ascii="仿宋_GB2312" w:hAnsi="仿宋_GB2312" w:cs="仿宋_GB2312" w:eastAsia="仿宋_GB2312"/>
              </w:rPr>
              <w:t>气流相对稳定，风向、风力不紊乱：风对单位面积上受药量影响较大，喷雾时最大风速低于</w:t>
            </w:r>
            <w:r>
              <w:rPr>
                <w:rFonts w:ascii="仿宋_GB2312" w:hAnsi="仿宋_GB2312" w:cs="仿宋_GB2312" w:eastAsia="仿宋_GB2312"/>
              </w:rPr>
              <w:t>4m/s。超过上述规定应停止作业。</w:t>
            </w:r>
          </w:p>
          <w:p>
            <w:pPr>
              <w:pStyle w:val="null3"/>
            </w:pPr>
            <w:r>
              <w:rPr>
                <w:rFonts w:ascii="仿宋_GB2312" w:hAnsi="仿宋_GB2312" w:cs="仿宋_GB2312" w:eastAsia="仿宋_GB2312"/>
              </w:rPr>
              <w:t>温度：最适应的喷药气温是</w:t>
            </w:r>
            <w:r>
              <w:rPr>
                <w:rFonts w:ascii="仿宋_GB2312" w:hAnsi="仿宋_GB2312" w:cs="仿宋_GB2312" w:eastAsia="仿宋_GB2312"/>
              </w:rPr>
              <w:t>20～30℃，当大气温度超过35℃时，产生上升气流，影响防治效果，原则上暂停飞防。</w:t>
            </w:r>
          </w:p>
          <w:p>
            <w:pPr>
              <w:pStyle w:val="null3"/>
            </w:pPr>
            <w:r>
              <w:rPr>
                <w:rFonts w:ascii="仿宋_GB2312" w:hAnsi="仿宋_GB2312" w:cs="仿宋_GB2312" w:eastAsia="仿宋_GB2312"/>
              </w:rPr>
              <w:t>湿度：喷雾时相对湿度应在</w:t>
            </w:r>
            <w:r>
              <w:rPr>
                <w:rFonts w:ascii="仿宋_GB2312" w:hAnsi="仿宋_GB2312" w:cs="仿宋_GB2312" w:eastAsia="仿宋_GB2312"/>
              </w:rPr>
              <w:t>55%以上。</w:t>
            </w:r>
          </w:p>
          <w:p>
            <w:pPr>
              <w:pStyle w:val="null3"/>
            </w:pPr>
            <w:r>
              <w:rPr>
                <w:rFonts w:ascii="仿宋_GB2312" w:hAnsi="仿宋_GB2312" w:cs="仿宋_GB2312" w:eastAsia="仿宋_GB2312"/>
              </w:rPr>
              <w:t>②起降点选择</w:t>
            </w:r>
          </w:p>
          <w:p>
            <w:pPr>
              <w:pStyle w:val="null3"/>
            </w:pPr>
            <w:r>
              <w:rPr>
                <w:rFonts w:ascii="仿宋_GB2312" w:hAnsi="仿宋_GB2312" w:cs="仿宋_GB2312" w:eastAsia="仿宋_GB2312"/>
              </w:rPr>
              <w:t>根据</w:t>
            </w:r>
            <w:r>
              <w:rPr>
                <w:rFonts w:ascii="仿宋_GB2312" w:hAnsi="仿宋_GB2312" w:cs="仿宋_GB2312" w:eastAsia="仿宋_GB2312"/>
              </w:rPr>
              <w:t>森林</w:t>
            </w:r>
            <w:r>
              <w:rPr>
                <w:rFonts w:ascii="仿宋_GB2312" w:hAnsi="仿宋_GB2312" w:cs="仿宋_GB2312" w:eastAsia="仿宋_GB2312"/>
              </w:rPr>
              <w:t>资源分布情况及飞防作业区地形地貌特点，依据就近原则和无人机的作业半径、水电路、安全保卫、起降点周围的高大建筑物、飞行设计等因素综合考虑在防治项目区建设起降点。综合考虑飞防面积及地形特点，确定起降点位置和数量。</w:t>
            </w:r>
          </w:p>
          <w:p>
            <w:pPr>
              <w:pStyle w:val="null3"/>
            </w:pPr>
            <w:r>
              <w:rPr>
                <w:rFonts w:ascii="仿宋_GB2312" w:hAnsi="仿宋_GB2312" w:cs="仿宋_GB2312" w:eastAsia="仿宋_GB2312"/>
              </w:rPr>
              <w:t>起降点要求净空</w:t>
            </w:r>
            <w:r>
              <w:rPr>
                <w:rFonts w:ascii="仿宋_GB2312" w:hAnsi="仿宋_GB2312" w:cs="仿宋_GB2312" w:eastAsia="仿宋_GB2312"/>
              </w:rPr>
              <w:t>20m以上，无高大建筑物、高压线等，地面平整，无易被吹起的杂物，停机点要求最小面积3m×3m。距飞防区域近，作业半径在0.5-1km。</w:t>
            </w:r>
          </w:p>
          <w:p>
            <w:pPr>
              <w:pStyle w:val="null3"/>
            </w:pPr>
            <w:r>
              <w:rPr>
                <w:rFonts w:ascii="仿宋_GB2312" w:hAnsi="仿宋_GB2312" w:cs="仿宋_GB2312" w:eastAsia="仿宋_GB2312"/>
              </w:rPr>
              <w:t>充电区：地面平整，能停放车辆及发电机组，距离居民区不少于</w:t>
            </w:r>
            <w:r>
              <w:rPr>
                <w:rFonts w:ascii="仿宋_GB2312" w:hAnsi="仿宋_GB2312" w:cs="仿宋_GB2312" w:eastAsia="仿宋_GB2312"/>
              </w:rPr>
              <w:t>50m。</w:t>
            </w:r>
          </w:p>
          <w:p>
            <w:pPr>
              <w:pStyle w:val="null3"/>
            </w:pPr>
            <w:r>
              <w:rPr>
                <w:rFonts w:ascii="仿宋_GB2312" w:hAnsi="仿宋_GB2312" w:cs="仿宋_GB2312" w:eastAsia="仿宋_GB2312"/>
              </w:rPr>
              <w:t>配药点：距停机点</w:t>
            </w:r>
            <w:r>
              <w:rPr>
                <w:rFonts w:ascii="仿宋_GB2312" w:hAnsi="仿宋_GB2312" w:cs="仿宋_GB2312" w:eastAsia="仿宋_GB2312"/>
              </w:rPr>
              <w:t>5m左右，附近放置配药桶及水箱，距离饮用水源不少于50m。</w:t>
            </w:r>
          </w:p>
          <w:p>
            <w:pPr>
              <w:pStyle w:val="null3"/>
            </w:pPr>
            <w:r>
              <w:rPr>
                <w:rFonts w:ascii="仿宋_GB2312" w:hAnsi="仿宋_GB2312" w:cs="仿宋_GB2312" w:eastAsia="仿宋_GB2312"/>
              </w:rPr>
              <w:t>起降地点选择：防治公司根据现场实际自行选择起降点，各单位配合。由于飞防作业区高差大，加之隔离带宽度相对无人机作业半径较大，因此飞行作业途中，根据地形及作业范围尽量多选择起降点。</w:t>
            </w:r>
          </w:p>
          <w:p>
            <w:pPr>
              <w:pStyle w:val="null3"/>
            </w:pPr>
            <w:r>
              <w:rPr>
                <w:rFonts w:ascii="仿宋_GB2312" w:hAnsi="仿宋_GB2312" w:cs="仿宋_GB2312" w:eastAsia="仿宋_GB2312"/>
              </w:rPr>
              <w:t>③导航方法设计</w:t>
            </w:r>
          </w:p>
          <w:p>
            <w:pPr>
              <w:pStyle w:val="null3"/>
            </w:pPr>
            <w:r>
              <w:rPr>
                <w:rFonts w:ascii="仿宋_GB2312" w:hAnsi="仿宋_GB2312" w:cs="仿宋_GB2312" w:eastAsia="仿宋_GB2312"/>
              </w:rPr>
              <w:t>无人机防治采用</w:t>
            </w:r>
            <w:r>
              <w:rPr>
                <w:rFonts w:ascii="仿宋_GB2312" w:hAnsi="仿宋_GB2312" w:cs="仿宋_GB2312" w:eastAsia="仿宋_GB2312"/>
              </w:rPr>
              <w:t>GPS导航，按设计要求及参数通过手机APP系统自动和人工控制相结合方式操控。GPS导航数据由无人机操作员按照测绘的三维地形图及设计提前输入、调试、核对和应用，一旦发现问题，及时纠正，避免造成误飞或遗漏。</w:t>
            </w:r>
          </w:p>
          <w:p>
            <w:pPr>
              <w:pStyle w:val="null3"/>
            </w:pPr>
            <w:r>
              <w:rPr>
                <w:rFonts w:ascii="仿宋_GB2312" w:hAnsi="仿宋_GB2312" w:cs="仿宋_GB2312" w:eastAsia="仿宋_GB2312"/>
              </w:rPr>
              <w:t>④飞行作业方式</w:t>
            </w:r>
            <w:r>
              <w:rPr>
                <w:rFonts w:ascii="仿宋_GB2312" w:hAnsi="仿宋_GB2312" w:cs="仿宋_GB2312" w:eastAsia="仿宋_GB2312"/>
              </w:rPr>
              <w:t>、航向设计</w:t>
            </w:r>
          </w:p>
          <w:p>
            <w:pPr>
              <w:pStyle w:val="null3"/>
            </w:pPr>
            <w:r>
              <w:rPr>
                <w:rFonts w:ascii="仿宋_GB2312" w:hAnsi="仿宋_GB2312" w:cs="仿宋_GB2312" w:eastAsia="仿宋_GB2312"/>
              </w:rPr>
              <w:t>按照安全、高效、经济的原则科学合理设计飞防航线。规划的飞防区域面积较大，起飞点离飞防边界点距离较远时，根据需要将飞防区系统分割成若干个飞防作业单元，避免无人机载重或空料长距离飞行。根据飞防区的地形地貌和净空条件、飞防区的长度和宽度、无人机喷幅和混交方式，设计飞行作业方式。飞行作业方式分为单程式、复程式、穿梭式等。根据每架次喷药面积、飞防作业单元面积及飞行作业方式，设计飞行作业架次组合。</w:t>
            </w:r>
          </w:p>
          <w:p>
            <w:pPr>
              <w:pStyle w:val="null3"/>
            </w:pPr>
            <w:r>
              <w:rPr>
                <w:rFonts w:ascii="仿宋_GB2312" w:hAnsi="仿宋_GB2312" w:cs="仿宋_GB2312" w:eastAsia="仿宋_GB2312"/>
              </w:rPr>
              <w:t>按基本沿着相同海拔高度飞行作业的原则，结合飞防区地形条件，确定合理的飞行作业航向。一般航向应尽可能与飞防区主山梁平行，并应与作业季节的主风方向相一致。按照无人机喷幅，利用自动导航系统等行距规划飞防线路或人工规划飞防线路，做到飞防区喷药全覆盖。为保证飞防效果，具体由无人机操作员按照飞防区三维地形图及飞防区控制点坐标，根据地形、当时风向情况自主决定飞行作业方式。</w:t>
            </w:r>
          </w:p>
          <w:p>
            <w:pPr>
              <w:pStyle w:val="null3"/>
            </w:pPr>
            <w:r>
              <w:rPr>
                <w:rFonts w:ascii="仿宋_GB2312" w:hAnsi="仿宋_GB2312" w:cs="仿宋_GB2312" w:eastAsia="仿宋_GB2312"/>
              </w:rPr>
              <w:t>⑤飞行速度、飞行高度和喷洒时间</w:t>
            </w:r>
          </w:p>
          <w:p>
            <w:pPr>
              <w:pStyle w:val="null3"/>
            </w:pPr>
            <w:r>
              <w:rPr>
                <w:rFonts w:ascii="仿宋_GB2312" w:hAnsi="仿宋_GB2312" w:cs="仿宋_GB2312" w:eastAsia="仿宋_GB2312"/>
              </w:rPr>
              <w:t>飞行速度、喷洒时间（</w:t>
            </w:r>
            <w:r>
              <w:rPr>
                <w:rFonts w:ascii="仿宋_GB2312" w:hAnsi="仿宋_GB2312" w:cs="仿宋_GB2312" w:eastAsia="仿宋_GB2312"/>
              </w:rPr>
              <w:t>min/架次）、喷幅决定着每架次喷洒面积、喷洒均匀度、单位面积喷液量等，是规划和完成飞防任务的重要依据；为确保数据准确无误，飞防前要进行严格测定，飞防时要严格遵守。</w:t>
            </w:r>
          </w:p>
          <w:p>
            <w:pPr>
              <w:pStyle w:val="null3"/>
            </w:pPr>
            <w:r>
              <w:rPr>
                <w:rFonts w:ascii="仿宋_GB2312" w:hAnsi="仿宋_GB2312" w:cs="仿宋_GB2312" w:eastAsia="仿宋_GB2312"/>
              </w:rPr>
              <w:t>通过</w:t>
            </w:r>
            <w:r>
              <w:rPr>
                <w:rFonts w:ascii="仿宋_GB2312" w:hAnsi="仿宋_GB2312" w:cs="仿宋_GB2312" w:eastAsia="仿宋_GB2312"/>
              </w:rPr>
              <w:t>GPS系统测定无人机作业高度，严格掌握作业飞行高度。飞行速度根据飞防区域大小适当进行控制。一般在3-5M/S之间，无人机作业时，飞行高度一般要求保持在离树梢3.5-4.5米；做好建筑物、通讯塔、高压线等的避让，但必须保证作业质量。</w:t>
            </w:r>
          </w:p>
          <w:p>
            <w:pPr>
              <w:pStyle w:val="null3"/>
            </w:pPr>
            <w:r>
              <w:rPr>
                <w:rFonts w:ascii="仿宋_GB2312" w:hAnsi="仿宋_GB2312" w:cs="仿宋_GB2312" w:eastAsia="仿宋_GB2312"/>
              </w:rPr>
              <w:t>⑥有效喷幅</w:t>
            </w:r>
          </w:p>
          <w:p>
            <w:pPr>
              <w:pStyle w:val="null3"/>
            </w:pPr>
            <w:r>
              <w:rPr>
                <w:rFonts w:ascii="仿宋_GB2312" w:hAnsi="仿宋_GB2312" w:cs="仿宋_GB2312" w:eastAsia="仿宋_GB2312"/>
              </w:rPr>
              <w:t>喷幅是决定能否按单位面积喷药量均匀施药并保证雾滴覆盖密度和喷洒均匀度达到质量要求的重要参数。</w:t>
            </w:r>
          </w:p>
          <w:p>
            <w:pPr>
              <w:pStyle w:val="null3"/>
            </w:pPr>
            <w:r>
              <w:rPr>
                <w:rFonts w:ascii="仿宋_GB2312" w:hAnsi="仿宋_GB2312" w:cs="仿宋_GB2312" w:eastAsia="仿宋_GB2312"/>
              </w:rPr>
              <w:t>飞防前现场测定有效喷幅，测定方法：选定地形开阔位置在飞行中心线的垂直方向两侧各</w:t>
            </w:r>
            <w:r>
              <w:rPr>
                <w:rFonts w:ascii="仿宋_GB2312" w:hAnsi="仿宋_GB2312" w:cs="仿宋_GB2312" w:eastAsia="仿宋_GB2312"/>
              </w:rPr>
              <w:t>6m设置测试线，每间隔0.5m放置雾滴测试卡。无人机按飞行高度和速度要求飞越测试线后，收集雾滴测试卡，并应用depositescan软件对雾滴进行分析，一般每平方厘米有15个药滴以上即为有效，便可测定有效的喷幅宽度。喷幅确定后，科学调整喷洒时间和飞行速度，确定每架次喷洒面积，并与药箱载液量和亩喷液量计算的面积相符合，保证作业质量。</w:t>
            </w:r>
          </w:p>
          <w:p>
            <w:pPr>
              <w:pStyle w:val="null3"/>
            </w:pPr>
            <w:r>
              <w:rPr>
                <w:rFonts w:ascii="仿宋_GB2312" w:hAnsi="仿宋_GB2312" w:cs="仿宋_GB2312" w:eastAsia="仿宋_GB2312"/>
              </w:rPr>
              <w:t>⑦雾滴密度</w:t>
            </w:r>
            <w:r>
              <w:rPr>
                <w:rFonts w:ascii="仿宋_GB2312" w:hAnsi="仿宋_GB2312" w:cs="仿宋_GB2312" w:eastAsia="仿宋_GB2312"/>
              </w:rPr>
              <w:t>检验</w:t>
            </w:r>
          </w:p>
          <w:p>
            <w:pPr>
              <w:pStyle w:val="null3"/>
            </w:pPr>
            <w:r>
              <w:rPr>
                <w:rFonts w:ascii="仿宋_GB2312" w:hAnsi="仿宋_GB2312" w:cs="仿宋_GB2312" w:eastAsia="仿宋_GB2312"/>
              </w:rPr>
              <w:t>雾滴喷洒质量包括雾滴覆盖密度、沉积量和喷洒均匀度综合确定。飞防作业前，在与飞行方向垂直的方向每个作业小班林间空地内设</w:t>
            </w:r>
            <w:r>
              <w:rPr>
                <w:rFonts w:ascii="仿宋_GB2312" w:hAnsi="仿宋_GB2312" w:cs="仿宋_GB2312" w:eastAsia="仿宋_GB2312"/>
              </w:rPr>
              <w:t>5组取样点，对角线排列，每组取样点水平设置水敏纸或氧化镁载玻片≥10片，飞行作业30min后收集检查雾滴数，雾滴覆盖密度平均数≥15个/㎝²为合格。</w:t>
            </w:r>
          </w:p>
          <w:p>
            <w:pPr>
              <w:pStyle w:val="null3"/>
            </w:pPr>
            <w:r>
              <w:rPr>
                <w:rFonts w:ascii="仿宋_GB2312" w:hAnsi="仿宋_GB2312" w:cs="仿宋_GB2312" w:eastAsia="仿宋_GB2312"/>
              </w:rPr>
              <w:t>⑧飞行喷药记录</w:t>
            </w:r>
          </w:p>
          <w:p>
            <w:pPr>
              <w:pStyle w:val="null3"/>
            </w:pPr>
            <w:r>
              <w:rPr>
                <w:rFonts w:ascii="仿宋_GB2312" w:hAnsi="仿宋_GB2312" w:cs="仿宋_GB2312" w:eastAsia="仿宋_GB2312"/>
              </w:rPr>
              <w:t>在飞行作业过程中，应严格按技术要求认真作业，并记录每架次药物装载量、飞防地点、作业时间、作业面积等内容，按药物装载数据和飞行数据分别填写记录表；飞防记录人员要认真填写飞防作业记录表。</w:t>
            </w:r>
          </w:p>
          <w:p>
            <w:pPr>
              <w:pStyle w:val="null3"/>
            </w:pPr>
            <w:r>
              <w:rPr>
                <w:rFonts w:ascii="仿宋_GB2312" w:hAnsi="仿宋_GB2312" w:cs="仿宋_GB2312" w:eastAsia="仿宋_GB2312"/>
              </w:rPr>
              <w:t>3.</w:t>
            </w:r>
            <w:r>
              <w:rPr>
                <w:rFonts w:ascii="仿宋_GB2312" w:hAnsi="仿宋_GB2312" w:cs="仿宋_GB2312" w:eastAsia="仿宋_GB2312"/>
              </w:rPr>
              <w:t>飞防安全措施</w:t>
            </w:r>
          </w:p>
          <w:p>
            <w:pPr>
              <w:pStyle w:val="null3"/>
            </w:pPr>
            <w:r>
              <w:rPr>
                <w:rFonts w:ascii="仿宋_GB2312" w:hAnsi="仿宋_GB2312" w:cs="仿宋_GB2312" w:eastAsia="仿宋_GB2312"/>
              </w:rPr>
              <w:t>①人员防护</w:t>
            </w:r>
          </w:p>
          <w:p>
            <w:pPr>
              <w:pStyle w:val="null3"/>
            </w:pPr>
            <w:r>
              <w:rPr>
                <w:rFonts w:ascii="仿宋_GB2312" w:hAnsi="仿宋_GB2312" w:cs="仿宋_GB2312" w:eastAsia="仿宋_GB2312"/>
              </w:rPr>
              <w:t>农药配制人员应身体健康</w:t>
            </w:r>
            <w:r>
              <w:rPr>
                <w:rFonts w:ascii="仿宋_GB2312" w:hAnsi="仿宋_GB2312" w:cs="仿宋_GB2312" w:eastAsia="仿宋_GB2312"/>
              </w:rPr>
              <w:t>,经过专业技术培训，具备一定的森防知识，严禁儿童、老人、体弱多病者、经期、孕期、哺乳期妇女参与上述活动。配制农药时应穿戴必要的防护用品，严禁用手直接接触农药，谨防农药进入眼睛、接触皮肤或吸入体内。</w:t>
            </w:r>
          </w:p>
          <w:p>
            <w:pPr>
              <w:pStyle w:val="null3"/>
            </w:pPr>
            <w:r>
              <w:rPr>
                <w:rFonts w:ascii="仿宋_GB2312" w:hAnsi="仿宋_GB2312" w:cs="仿宋_GB2312" w:eastAsia="仿宋_GB2312"/>
              </w:rPr>
              <w:t>②剩余农药的处理</w:t>
            </w:r>
          </w:p>
          <w:p>
            <w:pPr>
              <w:pStyle w:val="null3"/>
            </w:pPr>
            <w:r>
              <w:rPr>
                <w:rFonts w:ascii="仿宋_GB2312" w:hAnsi="仿宋_GB2312" w:cs="仿宋_GB2312" w:eastAsia="仿宋_GB2312"/>
              </w:rPr>
              <w:t>未用完的农药制剂，应保存在原包装中，并密封贮存于上锁的地方，不得用其他容器盛装，严禁用空饮料瓶分装剩余农药。</w:t>
            </w:r>
          </w:p>
          <w:p>
            <w:pPr>
              <w:pStyle w:val="null3"/>
            </w:pPr>
            <w:r>
              <w:rPr>
                <w:rFonts w:ascii="仿宋_GB2312" w:hAnsi="仿宋_GB2312" w:cs="仿宋_GB2312" w:eastAsia="仿宋_GB2312"/>
              </w:rPr>
              <w:t>③农药容器和包装的处理</w:t>
            </w:r>
          </w:p>
          <w:p>
            <w:pPr>
              <w:pStyle w:val="null3"/>
            </w:pPr>
            <w:r>
              <w:rPr>
                <w:rFonts w:ascii="仿宋_GB2312" w:hAnsi="仿宋_GB2312" w:cs="仿宋_GB2312" w:eastAsia="仿宋_GB2312"/>
              </w:rPr>
              <w:t>用完后的容器与包装由施工单位全部收回，统一处理，严禁外流。</w:t>
            </w:r>
          </w:p>
          <w:p>
            <w:pPr>
              <w:pStyle w:val="null3"/>
            </w:pPr>
            <w:r>
              <w:rPr>
                <w:rFonts w:ascii="仿宋_GB2312" w:hAnsi="仿宋_GB2312" w:cs="仿宋_GB2312" w:eastAsia="仿宋_GB2312"/>
              </w:rPr>
              <w:t>④清洁与卫生</w:t>
            </w:r>
          </w:p>
          <w:p>
            <w:pPr>
              <w:pStyle w:val="null3"/>
            </w:pPr>
            <w:r>
              <w:rPr>
                <w:rFonts w:ascii="仿宋_GB2312" w:hAnsi="仿宋_GB2312" w:cs="仿宋_GB2312" w:eastAsia="仿宋_GB2312"/>
              </w:rPr>
              <w:t>作业结束后，应立即脱下防护服及其他防护用具</w:t>
            </w:r>
            <w:r>
              <w:rPr>
                <w:rFonts w:ascii="仿宋_GB2312" w:hAnsi="仿宋_GB2312" w:cs="仿宋_GB2312" w:eastAsia="仿宋_GB2312"/>
              </w:rPr>
              <w:t>,装入事先准备好的塑料袋中带回处理。及时用肥皂和清水清洗身体，并更换干净衣服。作业结束后,带回的各种防护服、用具、手套等物品，应立即清洗2～3遍，晾干存放。不应在小溪、河流、池塘、水库等水源中冲洗或洗涮施药器械、防护服等用具和身体,洗涮过器械、衣物、身体的水应倒在远离居民点、水源、作物和畜牧、渔业养殖场所等地方，并妥善处理。</w:t>
            </w:r>
          </w:p>
          <w:p>
            <w:pPr>
              <w:pStyle w:val="null3"/>
            </w:pPr>
            <w:r>
              <w:rPr>
                <w:rFonts w:ascii="仿宋_GB2312" w:hAnsi="仿宋_GB2312" w:cs="仿宋_GB2312" w:eastAsia="仿宋_GB2312"/>
              </w:rPr>
              <w:t>⑤飞防安全</w:t>
            </w:r>
          </w:p>
          <w:p>
            <w:pPr>
              <w:pStyle w:val="null3"/>
            </w:pPr>
            <w:r>
              <w:rPr>
                <w:rFonts w:ascii="仿宋_GB2312" w:hAnsi="仿宋_GB2312" w:cs="仿宋_GB2312" w:eastAsia="仿宋_GB2312"/>
              </w:rPr>
              <w:t>在飞防期间，要重点做好以下安全事项，确保飞防作业安全：</w:t>
            </w:r>
          </w:p>
          <w:p>
            <w:pPr>
              <w:pStyle w:val="null3"/>
            </w:pPr>
            <w:r>
              <w:rPr>
                <w:rFonts w:ascii="仿宋_GB2312" w:hAnsi="仿宋_GB2312" w:cs="仿宋_GB2312" w:eastAsia="仿宋_GB2312"/>
              </w:rPr>
              <w:t>（</w:t>
            </w:r>
            <w:r>
              <w:rPr>
                <w:rFonts w:ascii="仿宋_GB2312" w:hAnsi="仿宋_GB2312" w:cs="仿宋_GB2312" w:eastAsia="仿宋_GB2312"/>
              </w:rPr>
              <w:t>1）飞行员要按照视察飞行要求进行视察飞行，熟悉作业区地形地貌，了解作业区内高大建筑物、通信塔、高压线路等分布情况；</w:t>
            </w:r>
          </w:p>
          <w:p>
            <w:pPr>
              <w:pStyle w:val="null3"/>
            </w:pPr>
            <w:r>
              <w:rPr>
                <w:rFonts w:ascii="仿宋_GB2312" w:hAnsi="仿宋_GB2312" w:cs="仿宋_GB2312" w:eastAsia="仿宋_GB2312"/>
              </w:rPr>
              <w:t>（</w:t>
            </w:r>
            <w:r>
              <w:rPr>
                <w:rFonts w:ascii="仿宋_GB2312" w:hAnsi="仿宋_GB2312" w:cs="仿宋_GB2312" w:eastAsia="仿宋_GB2312"/>
              </w:rPr>
              <w:t>2）重点水域要做好保护工作，防止飞防喷洒的药液造成次生灾害；</w:t>
            </w:r>
          </w:p>
          <w:p>
            <w:pPr>
              <w:pStyle w:val="null3"/>
            </w:pPr>
            <w:r>
              <w:rPr>
                <w:rFonts w:ascii="仿宋_GB2312" w:hAnsi="仿宋_GB2312" w:cs="仿宋_GB2312" w:eastAsia="仿宋_GB2312"/>
              </w:rPr>
              <w:t>（</w:t>
            </w:r>
            <w:r>
              <w:rPr>
                <w:rFonts w:ascii="仿宋_GB2312" w:hAnsi="仿宋_GB2312" w:cs="仿宋_GB2312" w:eastAsia="仿宋_GB2312"/>
              </w:rPr>
              <w:t>3）飞防区内居民要备足36小时饮用水；</w:t>
            </w:r>
          </w:p>
          <w:p>
            <w:pPr>
              <w:pStyle w:val="null3"/>
            </w:pPr>
            <w:r>
              <w:rPr>
                <w:rFonts w:ascii="仿宋_GB2312" w:hAnsi="仿宋_GB2312" w:cs="仿宋_GB2312" w:eastAsia="仿宋_GB2312"/>
              </w:rPr>
              <w:t>（</w:t>
            </w:r>
            <w:r>
              <w:rPr>
                <w:rFonts w:ascii="仿宋_GB2312" w:hAnsi="仿宋_GB2312" w:cs="仿宋_GB2312" w:eastAsia="仿宋_GB2312"/>
              </w:rPr>
              <w:t>4）为防止飞防对蚕桑和蜜蜂产生药害，蚕农和蜂农要按照安排，提前做好防护工作；</w:t>
            </w:r>
          </w:p>
          <w:p>
            <w:pPr>
              <w:pStyle w:val="null3"/>
            </w:pPr>
            <w:r>
              <w:rPr>
                <w:rFonts w:ascii="仿宋_GB2312" w:hAnsi="仿宋_GB2312" w:cs="仿宋_GB2312" w:eastAsia="仿宋_GB2312"/>
              </w:rPr>
              <w:t>（</w:t>
            </w:r>
            <w:r>
              <w:rPr>
                <w:rFonts w:ascii="仿宋_GB2312" w:hAnsi="仿宋_GB2312" w:cs="仿宋_GB2312" w:eastAsia="仿宋_GB2312"/>
              </w:rPr>
              <w:t>5）飞防区内，喷药后48小时内禁止野外放牧；</w:t>
            </w:r>
          </w:p>
          <w:p>
            <w:pPr>
              <w:pStyle w:val="null3"/>
            </w:pPr>
            <w:r>
              <w:rPr>
                <w:rFonts w:ascii="仿宋_GB2312" w:hAnsi="仿宋_GB2312" w:cs="仿宋_GB2312" w:eastAsia="仿宋_GB2312"/>
              </w:rPr>
              <w:t>（</w:t>
            </w:r>
            <w:r>
              <w:rPr>
                <w:rFonts w:ascii="仿宋_GB2312" w:hAnsi="仿宋_GB2312" w:cs="仿宋_GB2312" w:eastAsia="仿宋_GB2312"/>
              </w:rPr>
              <w:t>6）飞防时，除了工作人员外，禁止其他人员进入作业区。</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八</w:t>
            </w:r>
            <w:r>
              <w:rPr>
                <w:rFonts w:ascii="仿宋_GB2312" w:hAnsi="仿宋_GB2312" w:cs="仿宋_GB2312" w:eastAsia="仿宋_GB2312"/>
                <w:sz w:val="21"/>
                <w:b/>
              </w:rPr>
              <w:t>）</w:t>
            </w:r>
            <w:r>
              <w:rPr>
                <w:rFonts w:ascii="仿宋_GB2312" w:hAnsi="仿宋_GB2312" w:cs="仿宋_GB2312" w:eastAsia="仿宋_GB2312"/>
                <w:sz w:val="21"/>
              </w:rPr>
              <w:t>项目实施及合同签订单位：韩城市林木病虫防治检疫站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采购人关于项目的任务安排，明确相应的技术部门，以及足够的、相对固定的技术人员，作为完成本项目的基本力量，建立明确的内部管理模式，建立健全质量保证体系，保证工作质量和进度。参与项目的人员应当遵守国家法律法规，责任心强，专业素质高，技术能力强，掌握现行相关标准、规范和政策</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合同签订后至2026年8月30日前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韩城市薛峰林区峰川管护区峰川村段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供应商提出验收申请，采购人同意后，采购人相关部门及人员形成验收小组，验收小组根据磋商文件、响应文件、合同等项目文件约定内容对项目进行综合验收，并签字确认合格飞防作业面积，作为结账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（一）合同实施 1.成交供应商应在合同签订后3个日历日内安排人员与采购人就相关工作进行安排、部署。 2.若因成交供应商原因未能如期完成合同规定的义务，由此对采购人造成的延误和一切损失，由成交供应商承担和赔偿。 （二）其他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供应商应具备林业有害生物防治丙级或以上资质证书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整体防控方案</w:t>
            </w:r>
          </w:p>
        </w:tc>
        <w:tc>
          <w:tcPr>
            <w:tcW w:type="dxa" w:w="2492"/>
          </w:tcPr>
          <w:p>
            <w:pPr>
              <w:pStyle w:val="null3"/>
            </w:pPr>
            <w:r>
              <w:rPr>
                <w:rFonts w:ascii="仿宋_GB2312" w:hAnsi="仿宋_GB2312" w:cs="仿宋_GB2312" w:eastAsia="仿宋_GB2312"/>
              </w:rPr>
              <w:t>内容至少包括①防控区域现状分析；②防控目标和标准；③防治措施；④重难点分析及解决措施；⑤成果资料收集整理措施。以上内容专门针对本项目且阐述明晰、全面、合理得30分，每缺一项内容扣6分，若上述内容存在瑕疵，每存在1处瑕疵扣1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内容至少包括①质量保障措施；②进度保障措施；③安全保障措施；④验收保证措施等。以上内容专门针对本项目且阐述明晰、全面、合理得20分，每缺一项内容扣5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岗位职责；③团队人员管理制度。以上内容专门针对本项目且阐述明晰、全面、合理得12分，每缺一项内容扣4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 2.承诺：供应商具有足够的可调度人员储备，以应对突发事件等工作任务。若人员因事、病不能及时上岗时，请调其他服务人员补充，确保各项服务工作正常进行。 3.承诺：供应商应当对涉及采购人的信息严格保密，未经采购人许可，不得将信息泄露给第三方。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应急小组成员及职责；②应急处置流程；③应急响应具体措施等。上述各部分内容全面详细、阐述条理清晰详尽、符合且针对本项目采购需求得9分，每缺一项内容扣3分，若上述内容存在瑕疵，每存在1处瑕疵扣1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供应商具有2023年1月1日至今（以合同签订时间为准）类似项目业绩，响应文件中提供合同复印件加盖公章，每提供一个得1.5分，最高得3分。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