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版本号：JHBZ2026-0115-002.1B120260415001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韩城市2025年省级林业草原改革发展资金桑树坪镇绿色有机花椒标准化示范园建设(二次)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JHBZ2026-0115-002.1B1</w:t>
      </w:r>
      <w:r>
        <w:br/>
      </w:r>
      <w:r>
        <w:br/>
      </w:r>
      <w:r>
        <w:br/>
      </w:r>
    </w:p>
    <w:p>
      <w:pPr>
        <w:pStyle w:val="null3"/>
        <w:jc w:val="center"/>
        <w:outlineLvl w:val="2"/>
      </w:pPr>
      <w:r>
        <w:rPr>
          <w:rFonts w:ascii="仿宋_GB2312" w:hAnsi="仿宋_GB2312" w:cs="仿宋_GB2312" w:eastAsia="仿宋_GB2312"/>
          <w:sz w:val="28"/>
          <w:b/>
        </w:rPr>
        <w:t>韩城市花椒管理局（本级）</w:t>
      </w:r>
    </w:p>
    <w:p>
      <w:pPr>
        <w:pStyle w:val="null3"/>
        <w:jc w:val="center"/>
        <w:outlineLvl w:val="2"/>
      </w:pPr>
      <w:r>
        <w:rPr>
          <w:rFonts w:ascii="仿宋_GB2312" w:hAnsi="仿宋_GB2312" w:cs="仿宋_GB2312" w:eastAsia="仿宋_GB2312"/>
          <w:sz w:val="28"/>
          <w:b/>
        </w:rPr>
        <w:t>陕西建汇秉泽项目管理咨询有限公司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陕西建汇秉泽项目管理咨询有限公司</w:t>
      </w:r>
      <w:r>
        <w:rPr>
          <w:rFonts w:ascii="仿宋_GB2312" w:hAnsi="仿宋_GB2312" w:cs="仿宋_GB2312" w:eastAsia="仿宋_GB2312"/>
        </w:rPr>
        <w:t>（以下简称“代理机构”）受</w:t>
      </w:r>
      <w:r>
        <w:rPr>
          <w:rFonts w:ascii="仿宋_GB2312" w:hAnsi="仿宋_GB2312" w:cs="仿宋_GB2312" w:eastAsia="仿宋_GB2312"/>
        </w:rPr>
        <w:t>韩城市花椒管理局（本级）</w:t>
      </w:r>
      <w:r>
        <w:rPr>
          <w:rFonts w:ascii="仿宋_GB2312" w:hAnsi="仿宋_GB2312" w:cs="仿宋_GB2312" w:eastAsia="仿宋_GB2312"/>
        </w:rPr>
        <w:t>委托，拟对</w:t>
      </w:r>
      <w:r>
        <w:rPr>
          <w:rFonts w:ascii="仿宋_GB2312" w:hAnsi="仿宋_GB2312" w:cs="仿宋_GB2312" w:eastAsia="仿宋_GB2312"/>
        </w:rPr>
        <w:t>韩城市2025年省级林业草原改革发展资金桑树坪镇绿色有机花椒标准化示范园建设(二次)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JHBZ2026-0115-002.1B1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韩城市2025年省级林业草原改革发展资金桑树坪镇绿色有机花椒标准化示范园建设(二次)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推进我市花椒产业的规模化、集约化、标准化、智慧化发展进程，提升我市花椒市场竞争力，本项目拟建设花椒标准化示范园约2000亩。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采购包1（韩城市2025年省级林业草原改革发展资金桑树坪镇绿色有机花椒标准化示范园建设）：属于专门面向中小企业采购。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法定代表人直接参加磋商的，须出具法定代表人身份证明；法定代表人授权委托代理人参加磋商的，须出具法定代表人授权书（附法定代表人、被授权委托代理人身份证复印件或扫描件）及被授权委托代理人自响应文件提交截止日前六个月内任意一个月在本单位的社保缴纳证明。</w:t>
      </w:r>
    </w:p>
    <w:p>
      <w:pPr>
        <w:pStyle w:val="null3"/>
      </w:pPr>
      <w:r>
        <w:rPr>
          <w:rFonts w:ascii="仿宋_GB2312" w:hAnsi="仿宋_GB2312" w:cs="仿宋_GB2312" w:eastAsia="仿宋_GB2312"/>
        </w:rPr>
        <w:t>2、供应商资质：供应商若为代理商须提供农药经营许可证和所投产品的肥料登记证或农业农村部肥料备案信息系统备案截图，并提供农药生产厂商《农药登记证》、《农药生产许可证》：若为生产商须提供《农药登记证》、《农药生产许可证》和所投产品的肥料登记证或农业农村部肥料备案信息系统备案截图。</w:t>
      </w:r>
    </w:p>
    <w:p>
      <w:pPr>
        <w:pStyle w:val="null3"/>
      </w:pPr>
      <w:r>
        <w:rPr>
          <w:rFonts w:ascii="仿宋_GB2312" w:hAnsi="仿宋_GB2312" w:cs="仿宋_GB2312" w:eastAsia="仿宋_GB2312"/>
        </w:rPr>
        <w:t>3、信用记录：供应商未被“信用中国”网站（www.creditchina.gov.cn）列入“重大税收违法失信主体”，未被“中国政府采购网”（www.ccgp.gov.cn）列入“政府采购严重违法失信行为记录名单”；（响应文件解密完成后查询相关信用记录，对列入重大税收违法失信主体、政府采购严重违法失信行为记录名单及其他不符合《中华人民共和国政府采购法》第二十二条规定的供应商，将拒绝其参与政府采购活动，查询结果以电子或纸质方式留存）。</w:t>
      </w:r>
    </w:p>
    <w:p>
      <w:pPr>
        <w:pStyle w:val="null3"/>
      </w:pPr>
      <w:r>
        <w:rPr>
          <w:rFonts w:ascii="仿宋_GB2312" w:hAnsi="仿宋_GB2312" w:cs="仿宋_GB2312" w:eastAsia="仿宋_GB2312"/>
        </w:rPr>
        <w:t>4、非联合体声明：本项目不接受联合体投标。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韩城市花椒管理局（本级）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韩城市新城区太史大街政府5号楼三楼西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韩城市花椒管理局（本级）经办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13992306660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陕西建汇秉泽项目管理咨询有限公司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陕西省西安市高新区都市之门C座1单元10层1001室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翁工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029-89526151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18009139986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lt;招标代理服务收费管理暂行办法&gt;的通知》（计价格【2002】1980号）及《国家发改委关于降低部分建设项目收费标准规范收费行为等有关问题的通知》（发改价[2011]534号）计取。 2、成交供应商在领取成交通知书前，由成交人向采购代理机构一次性支付采购代理服务费。 3、采购代理服务费以转账或现金形式缴纳至以下账户：开户名称：陕西建汇秉泽项目管理咨询有限公司 开户银行：中信银行股份有限公司西安锦都花园支行 账 号：8111701012500507641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韩城市花椒管理局（本级）</w:t>
      </w:r>
      <w:r>
        <w:rPr>
          <w:rFonts w:ascii="仿宋_GB2312" w:hAnsi="仿宋_GB2312" w:cs="仿宋_GB2312" w:eastAsia="仿宋_GB2312"/>
        </w:rPr>
        <w:t>和</w:t>
      </w:r>
      <w:r>
        <w:rPr>
          <w:rFonts w:ascii="仿宋_GB2312" w:hAnsi="仿宋_GB2312" w:cs="仿宋_GB2312" w:eastAsia="仿宋_GB2312"/>
        </w:rPr>
        <w:t>陕西建汇秉泽项目管理咨询有限公司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韩城市花椒管理局（本级）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陕西建汇秉泽项目管理咨询有限公司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陕西建汇秉泽项目管理咨询有限公司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按招标文件、投标文件及澄清函、项目检查情况等综合指标进行验收。各项指标均应符合达到国家及行业现行技术规范标准，符合国家及行业验收合格标准。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陕西建汇秉泽项目管理咨询有限公司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陕西建汇秉泽项目管理咨询有限公司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陕西建汇秉泽项目管理咨询有限公司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联系人：翁工</w:t>
      </w:r>
    </w:p>
    <w:p>
      <w:pPr>
        <w:pStyle w:val="null3"/>
      </w:pPr>
      <w:r>
        <w:rPr>
          <w:rFonts w:ascii="仿宋_GB2312" w:hAnsi="仿宋_GB2312" w:cs="仿宋_GB2312" w:eastAsia="仿宋_GB2312"/>
        </w:rPr>
        <w:t>联系电话：029-89526151</w:t>
      </w:r>
    </w:p>
    <w:p>
      <w:pPr>
        <w:pStyle w:val="null3"/>
      </w:pPr>
      <w:r>
        <w:rPr>
          <w:rFonts w:ascii="仿宋_GB2312" w:hAnsi="仿宋_GB2312" w:cs="仿宋_GB2312" w:eastAsia="仿宋_GB2312"/>
        </w:rPr>
        <w:t>地址：陕西省西安市高新区都市之门C座1单元10层1001室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推进我市花椒产业的规模化、集约化、标准化、智慧化发展进程，提升我市花椒市场竞争力，本项目拟建设花椒标准化示范园约2000亩。</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桑树坪镇绿色有机花椒标准化示范园建设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标的名称：桑树坪镇绿色有机花椒标准化示范园建设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left"/>
            </w:pPr>
            <w:r>
              <w:rPr>
                <w:rFonts w:ascii="仿宋_GB2312" w:hAnsi="仿宋_GB2312" w:cs="仿宋_GB2312" w:eastAsia="仿宋_GB2312"/>
                <w:sz w:val="21"/>
                <w:b/>
              </w:rPr>
              <w:t>一、项目建设内容</w:t>
            </w:r>
          </w:p>
          <w:p>
            <w:pPr>
              <w:pStyle w:val="null3"/>
              <w:jc w:val="both"/>
            </w:pPr>
            <w:r>
              <w:rPr>
                <w:rFonts w:ascii="仿宋_GB2312" w:hAnsi="仿宋_GB2312" w:cs="仿宋_GB2312" w:eastAsia="仿宋_GB2312"/>
                <w:sz w:val="21"/>
              </w:rPr>
              <w:t>项目区通过应用清园涂干、整地补植、科学施肥、精细修剪、灾害防控、智慧椒园及机械应用等技术措施，开展绿色有机花椒生产管理技术培训会，在桑树坪北梁建立绿色有机花椒标准化示范园</w:t>
            </w:r>
            <w:r>
              <w:rPr>
                <w:rFonts w:ascii="仿宋_GB2312" w:hAnsi="仿宋_GB2312" w:cs="仿宋_GB2312" w:eastAsia="仿宋_GB2312"/>
                <w:sz w:val="21"/>
              </w:rPr>
              <w:t>2000亩，其中1500亩绿色生产示范区，500亩有机生产示范区。</w:t>
            </w:r>
          </w:p>
          <w:p>
            <w:pPr>
              <w:pStyle w:val="null3"/>
              <w:spacing w:before="105" w:after="105"/>
              <w:jc w:val="left"/>
            </w:pPr>
            <w:r>
              <w:rPr>
                <w:rFonts w:ascii="仿宋_GB2312" w:hAnsi="仿宋_GB2312" w:cs="仿宋_GB2312" w:eastAsia="仿宋_GB2312"/>
                <w:sz w:val="21"/>
                <w:b/>
              </w:rPr>
              <w:t>二、主要技术措施</w:t>
            </w:r>
          </w:p>
          <w:p>
            <w:pPr>
              <w:pStyle w:val="null3"/>
              <w:jc w:val="both"/>
            </w:pPr>
            <w:r>
              <w:rPr>
                <w:rFonts w:ascii="仿宋_GB2312" w:hAnsi="仿宋_GB2312" w:cs="仿宋_GB2312" w:eastAsia="仿宋_GB2312"/>
                <w:sz w:val="21"/>
                <w:b/>
              </w:rPr>
              <w:t>1.清园涂干</w:t>
            </w:r>
          </w:p>
          <w:p>
            <w:pPr>
              <w:pStyle w:val="null3"/>
              <w:jc w:val="both"/>
            </w:pPr>
            <w:r>
              <w:rPr>
                <w:rFonts w:ascii="仿宋_GB2312" w:hAnsi="仿宋_GB2312" w:cs="仿宋_GB2312" w:eastAsia="仿宋_GB2312"/>
                <w:sz w:val="21"/>
              </w:rPr>
              <w:t>清园：冬前，清除园地枯枝落叶、杂草，烧毁。刮掉主干枝上较大的翘起皮，用</w:t>
            </w:r>
            <w:r>
              <w:rPr>
                <w:rFonts w:ascii="仿宋_GB2312" w:hAnsi="仿宋_GB2312" w:cs="仿宋_GB2312" w:eastAsia="仿宋_GB2312"/>
                <w:sz w:val="21"/>
              </w:rPr>
              <w:t>3～5波美度的石硫合剂进行全园喷施，以杀死部分虫卵、病菌。</w:t>
            </w:r>
          </w:p>
          <w:p>
            <w:pPr>
              <w:pStyle w:val="null3"/>
              <w:jc w:val="both"/>
            </w:pPr>
            <w:r>
              <w:rPr>
                <w:rFonts w:ascii="仿宋_GB2312" w:hAnsi="仿宋_GB2312" w:cs="仿宋_GB2312" w:eastAsia="仿宋_GB2312"/>
                <w:sz w:val="21"/>
              </w:rPr>
              <w:t>涂干：结合项目区具体情况及病虫害防治要求，在项目区绿色生产示范区域开展树干保护，对地面以上</w:t>
            </w:r>
            <w:r>
              <w:rPr>
                <w:rFonts w:ascii="仿宋_GB2312" w:hAnsi="仿宋_GB2312" w:cs="仿宋_GB2312" w:eastAsia="仿宋_GB2312"/>
                <w:sz w:val="21"/>
              </w:rPr>
              <w:t>70cm花椒主干涂抹树干保护剂。主干近地面部分容易滋生病虫害，通过涂抹树干保护剂可以消灭在树干上越冬的病虫，还可预防花椒树冻害。若树皮内有越冬虫卵，可加入少量杀虫剂。</w:t>
            </w:r>
          </w:p>
          <w:p>
            <w:pPr>
              <w:pStyle w:val="null3"/>
              <w:jc w:val="both"/>
            </w:pPr>
            <w:r>
              <w:rPr>
                <w:rFonts w:ascii="仿宋_GB2312" w:hAnsi="仿宋_GB2312" w:cs="仿宋_GB2312" w:eastAsia="仿宋_GB2312"/>
                <w:sz w:val="21"/>
                <w:b/>
              </w:rPr>
              <w:t>2.整地补植</w:t>
            </w:r>
          </w:p>
          <w:p>
            <w:pPr>
              <w:pStyle w:val="null3"/>
              <w:jc w:val="both"/>
            </w:pPr>
            <w:r>
              <w:rPr>
                <w:rFonts w:ascii="仿宋_GB2312" w:hAnsi="仿宋_GB2312" w:cs="仿宋_GB2312" w:eastAsia="仿宋_GB2312"/>
                <w:sz w:val="21"/>
              </w:rPr>
              <w:t>整地：采取全园深翻整地，项目区连年使用化肥、农药、除草剂等化学药剂，导致项目区土壤板结，酸化，土壤有机质含量低，重金属超标，严重影响了花椒的生长及产品质量。因此，结合深翻，增施有机肥对项目区土壤进行改良。</w:t>
            </w:r>
          </w:p>
          <w:p>
            <w:pPr>
              <w:pStyle w:val="null3"/>
              <w:jc w:val="both"/>
            </w:pPr>
            <w:r>
              <w:rPr>
                <w:rFonts w:ascii="仿宋_GB2312" w:hAnsi="仿宋_GB2312" w:cs="仿宋_GB2312" w:eastAsia="仿宋_GB2312"/>
                <w:sz w:val="21"/>
              </w:rPr>
              <w:t>生长期内松土除草</w:t>
            </w:r>
            <w:r>
              <w:rPr>
                <w:rFonts w:ascii="仿宋_GB2312" w:hAnsi="仿宋_GB2312" w:cs="仿宋_GB2312" w:eastAsia="仿宋_GB2312"/>
                <w:sz w:val="21"/>
              </w:rPr>
              <w:t>3～5次。²第一次在杂草发芽不久的早春进行；第二次在麦收前后进行；第三次在采椒后进行，保持树盘内外无杂草。</w:t>
            </w:r>
          </w:p>
          <w:p>
            <w:pPr>
              <w:pStyle w:val="null3"/>
              <w:jc w:val="both"/>
            </w:pPr>
            <w:r>
              <w:rPr>
                <w:rFonts w:ascii="仿宋_GB2312" w:hAnsi="仿宋_GB2312" w:cs="仿宋_GB2312" w:eastAsia="仿宋_GB2312"/>
                <w:sz w:val="21"/>
              </w:rPr>
              <w:t>补植：对</w:t>
            </w:r>
            <w:r>
              <w:rPr>
                <w:rFonts w:ascii="仿宋_GB2312" w:hAnsi="仿宋_GB2312" w:cs="仿宋_GB2312" w:eastAsia="仿宋_GB2312"/>
                <w:sz w:val="21"/>
              </w:rPr>
              <w:t>1500亩的绿色生产示范区中保护率达不到标准、分布不均的种植地块选择无病虫的Ⅰ级抗逆性强的花椒良种嫁接营养杯苗木进行补植。在秋季落叶后至土壤封冻前栽植或春季萌芽前栽植，也可雨季带叶栽植。定植穴的大小以根系舒展为宜，定植前应于穴内先填熟土或有机肥，栽植后浇定苗水。栽植株行距平地3m～3.5m×4m～5m，坡台地3m～3.5m×3m～4m。补植后适时进行松土、除草、扩穴等抚育措施。</w:t>
            </w:r>
          </w:p>
          <w:p>
            <w:pPr>
              <w:pStyle w:val="null3"/>
              <w:jc w:val="both"/>
            </w:pPr>
            <w:r>
              <w:rPr>
                <w:rFonts w:ascii="仿宋_GB2312" w:hAnsi="仿宋_GB2312" w:cs="仿宋_GB2312" w:eastAsia="仿宋_GB2312"/>
                <w:sz w:val="21"/>
                <w:b/>
              </w:rPr>
              <w:t>3..科学施肥</w:t>
            </w:r>
          </w:p>
          <w:p>
            <w:pPr>
              <w:pStyle w:val="null3"/>
              <w:jc w:val="both"/>
            </w:pPr>
            <w:r>
              <w:rPr>
                <w:rFonts w:ascii="仿宋_GB2312" w:hAnsi="仿宋_GB2312" w:cs="仿宋_GB2312" w:eastAsia="仿宋_GB2312"/>
                <w:sz w:val="21"/>
              </w:rPr>
              <w:t>对项目区地块土壤进行采样检测，依据检测结果结合深翻改土进行配方科学施肥。</w:t>
            </w:r>
          </w:p>
          <w:p>
            <w:pPr>
              <w:pStyle w:val="null3"/>
              <w:jc w:val="both"/>
            </w:pPr>
            <w:r>
              <w:rPr>
                <w:rFonts w:ascii="仿宋_GB2312" w:hAnsi="仿宋_GB2312" w:cs="仿宋_GB2312" w:eastAsia="仿宋_GB2312"/>
                <w:sz w:val="21"/>
                <w:b/>
              </w:rPr>
              <w:t>3.1绿色生产示范区</w:t>
            </w:r>
          </w:p>
          <w:p>
            <w:pPr>
              <w:pStyle w:val="null3"/>
              <w:jc w:val="both"/>
            </w:pPr>
            <w:r>
              <w:rPr>
                <w:rFonts w:ascii="仿宋_GB2312" w:hAnsi="仿宋_GB2312" w:cs="仿宋_GB2312" w:eastAsia="仿宋_GB2312"/>
                <w:sz w:val="21"/>
              </w:rPr>
              <w:t>生长期追肥：分别在树体萌芽期和花椒坐果期追肥，用</w:t>
            </w:r>
            <w:r>
              <w:rPr>
                <w:rFonts w:ascii="仿宋_GB2312" w:hAnsi="仿宋_GB2312" w:cs="仿宋_GB2312" w:eastAsia="仿宋_GB2312"/>
                <w:sz w:val="21"/>
              </w:rPr>
              <w:t>100倍液水溶肥进行灌根，每株幼树2.5公斤，盛果树10公斤，衰老树15公斤。叶面追肥结合病虫害防治在4月中下旬（坐果期）喷施0.3%硼肥、5月（果实膨大期）喷施100～200倍液光合菌剂、6月（着色期）喷施0.2%磷酸二氢钾。在生长季通过追肥可快速精准补充开花结果所需的大量养分，提高花椒产量和品质。</w:t>
            </w:r>
          </w:p>
          <w:p>
            <w:pPr>
              <w:pStyle w:val="null3"/>
              <w:jc w:val="both"/>
            </w:pPr>
            <w:r>
              <w:rPr>
                <w:rFonts w:ascii="仿宋_GB2312" w:hAnsi="仿宋_GB2312" w:cs="仿宋_GB2312" w:eastAsia="仿宋_GB2312"/>
                <w:sz w:val="21"/>
              </w:rPr>
              <w:t>秋施基肥：秋梢停长后，结合深翻改良土壤并施入基肥。幼树（</w:t>
            </w:r>
            <w:r>
              <w:rPr>
                <w:rFonts w:ascii="仿宋_GB2312" w:hAnsi="仿宋_GB2312" w:cs="仿宋_GB2312" w:eastAsia="仿宋_GB2312"/>
                <w:sz w:val="21"/>
              </w:rPr>
              <w:t>1～3年）每株施入生物菌肥1.5kg＋复合肥0.15kg；初果树及盛果树（4～25年）每株施入生物菌肥1.5～2.5kg＋复合肥0.5kg；衰老树（25年以后）每株施入生物菌肥2～3kg＋复合肥0.8kg。通过施入基肥可提高土壤有机质含量，增加土壤透气性，激活土壤酶的活性，改善土壤理化性状，改善花椒品质，提高产量。</w:t>
            </w:r>
          </w:p>
          <w:p>
            <w:pPr>
              <w:pStyle w:val="null3"/>
              <w:jc w:val="both"/>
            </w:pPr>
            <w:r>
              <w:rPr>
                <w:rFonts w:ascii="仿宋_GB2312" w:hAnsi="仿宋_GB2312" w:cs="仿宋_GB2312" w:eastAsia="仿宋_GB2312"/>
                <w:sz w:val="21"/>
                <w:b/>
              </w:rPr>
              <w:t>3.2有机生产示范区</w:t>
            </w:r>
          </w:p>
          <w:p>
            <w:pPr>
              <w:pStyle w:val="null3"/>
              <w:jc w:val="both"/>
            </w:pPr>
            <w:r>
              <w:rPr>
                <w:rFonts w:ascii="仿宋_GB2312" w:hAnsi="仿宋_GB2312" w:cs="仿宋_GB2312" w:eastAsia="仿宋_GB2312"/>
                <w:sz w:val="21"/>
              </w:rPr>
              <w:t>在秋季采收后，结合深翻和春耕，各施</w:t>
            </w:r>
            <w:r>
              <w:rPr>
                <w:rFonts w:ascii="仿宋_GB2312" w:hAnsi="仿宋_GB2312" w:cs="仿宋_GB2312" w:eastAsia="仿宋_GB2312"/>
                <w:sz w:val="21"/>
              </w:rPr>
              <w:t>1次有机生物菌肥，施肥量根据树势、树龄、结果量等调整，幼树有机生物菌肥2kg/株，盛果期树有机生物菌肥3kg/株，衰老树有机生物菌肥4kg/株。同时做好椒园日常管护。</w:t>
            </w:r>
          </w:p>
          <w:p>
            <w:pPr>
              <w:pStyle w:val="null3"/>
              <w:jc w:val="both"/>
            </w:pPr>
            <w:r>
              <w:rPr>
                <w:rFonts w:ascii="仿宋_GB2312" w:hAnsi="仿宋_GB2312" w:cs="仿宋_GB2312" w:eastAsia="仿宋_GB2312"/>
                <w:sz w:val="21"/>
                <w:b/>
              </w:rPr>
              <w:t>.4精细修剪</w:t>
            </w:r>
          </w:p>
          <w:p>
            <w:pPr>
              <w:pStyle w:val="null3"/>
              <w:jc w:val="both"/>
            </w:pPr>
            <w:r>
              <w:rPr>
                <w:rFonts w:ascii="仿宋_GB2312" w:hAnsi="仿宋_GB2312" w:cs="仿宋_GB2312" w:eastAsia="仿宋_GB2312"/>
                <w:sz w:val="21"/>
                <w:b/>
              </w:rPr>
              <w:t>4.1幼树整形</w:t>
            </w:r>
          </w:p>
          <w:p>
            <w:pPr>
              <w:pStyle w:val="null3"/>
              <w:jc w:val="both"/>
            </w:pPr>
            <w:r>
              <w:rPr>
                <w:rFonts w:ascii="仿宋_GB2312" w:hAnsi="仿宋_GB2312" w:cs="仿宋_GB2312" w:eastAsia="仿宋_GB2312"/>
                <w:sz w:val="21"/>
              </w:rPr>
              <w:t>幼树（</w:t>
            </w:r>
            <w:r>
              <w:rPr>
                <w:rFonts w:ascii="仿宋_GB2312" w:hAnsi="仿宋_GB2312" w:cs="仿宋_GB2312" w:eastAsia="仿宋_GB2312"/>
                <w:sz w:val="21"/>
              </w:rPr>
              <w:t>1～3年）以培养合理骨架结构为主。通常对各级主干枝进行短截，以抽生新枝，延伸主枝扩大树冠；其余枝条一般采用缓放手法进行修剪。因树造型，因树势、枝势进行整形修剪。</w:t>
            </w:r>
          </w:p>
          <w:p>
            <w:pPr>
              <w:pStyle w:val="null3"/>
              <w:jc w:val="both"/>
            </w:pPr>
            <w:r>
              <w:rPr>
                <w:rFonts w:ascii="仿宋_GB2312" w:hAnsi="仿宋_GB2312" w:cs="仿宋_GB2312" w:eastAsia="仿宋_GB2312"/>
                <w:sz w:val="21"/>
                <w:b/>
              </w:rPr>
              <w:t>4.2初果树修剪</w:t>
            </w:r>
          </w:p>
          <w:p>
            <w:pPr>
              <w:pStyle w:val="null3"/>
              <w:jc w:val="both"/>
            </w:pPr>
            <w:r>
              <w:rPr>
                <w:rFonts w:ascii="仿宋_GB2312" w:hAnsi="仿宋_GB2312" w:cs="仿宋_GB2312" w:eastAsia="仿宋_GB2312"/>
                <w:sz w:val="21"/>
              </w:rPr>
              <w:t>初果树（</w:t>
            </w:r>
            <w:r>
              <w:rPr>
                <w:rFonts w:ascii="仿宋_GB2312" w:hAnsi="仿宋_GB2312" w:cs="仿宋_GB2312" w:eastAsia="仿宋_GB2312"/>
                <w:sz w:val="21"/>
              </w:rPr>
              <w:t>3～6年），遵循整形与结果并重的原则。轻剪为主，对弱枝短截，多留枝，促进早挂果、多结果，对各级骨干枝适当短截，继续延伸，疏除背上直立大枝；其余枝条一律长放，多留小枝，培养结果枝组。一般采用短截、拉枝、摘心、开张角度等技术措施，扩大树冠，增加结果枝量，培养良好的结果枝组。冬季短截主枝延长头或秋季摘心，促发侧枝。秋、春季拉枝，开张角度，夏季摘心，促使花芽形成，为来年丰产打好基础。</w:t>
            </w:r>
          </w:p>
          <w:p>
            <w:pPr>
              <w:pStyle w:val="null3"/>
              <w:jc w:val="both"/>
            </w:pPr>
            <w:r>
              <w:rPr>
                <w:rFonts w:ascii="仿宋_GB2312" w:hAnsi="仿宋_GB2312" w:cs="仿宋_GB2312" w:eastAsia="仿宋_GB2312"/>
                <w:sz w:val="21"/>
                <w:b/>
              </w:rPr>
              <w:t>4.3盛果期树修剪</w:t>
            </w:r>
          </w:p>
          <w:p>
            <w:pPr>
              <w:pStyle w:val="null3"/>
              <w:jc w:val="both"/>
            </w:pPr>
            <w:r>
              <w:rPr>
                <w:rFonts w:ascii="仿宋_GB2312" w:hAnsi="仿宋_GB2312" w:cs="仿宋_GB2312" w:eastAsia="仿宋_GB2312"/>
                <w:sz w:val="21"/>
              </w:rPr>
              <w:t>盛果期（</w:t>
            </w:r>
            <w:r>
              <w:rPr>
                <w:rFonts w:ascii="仿宋_GB2312" w:hAnsi="仿宋_GB2312" w:cs="仿宋_GB2312" w:eastAsia="仿宋_GB2312"/>
                <w:sz w:val="21"/>
              </w:rPr>
              <w:t>7～15年），主要是维持健壮树势，坚持以疏为主，以截为辅的原则，确保树体有良好的通风透光和结果环境。主要是外围枝条缩放结合，将全园枝叶覆盖率控制在70%～80%, 以更新结果枝组为主，采用精细修剪方式进行结果枝组更新。主要采用回缩和疏除方法。疏除法即从基部去除过密、过弱的结果枝，保留健壮枝，以减少营养消耗。回缩法即把结果枝的长度缩剪一部分，可把长枝缩成短结果枝，小型结果枝回缩成单枝，大、中型结果枝组回缩成中、小型结果枝组，以去除弱枝、弱芽、集中营养、减少消耗达到复壮的目的。这种精细修剪的方式，使每个结果枝组，每年都得到有序地更新复壮，整个树体始终保持粗壮新枝结果，以确保花椒的产量和品质。坚持以疏为主、以截为辅的原则，使树体有良好的通风透光和结果环境。夏季控制徒长枝、过旺枝。通过拉枝、扭枝等措施将有生长空间的徒长枝、过旺枝培养成结果枝组；将无生长空间的徒长枝、过旺枝疏除，同时疏除细弱枝、病虫枝、重叠枝及主干50cm以下的枝组。秋季逐年疏除过旺、过密枝组，达到树体整体通风、枝枝见光的目的，为提高树体产量、质量创造良好条件。</w:t>
            </w:r>
          </w:p>
          <w:p>
            <w:pPr>
              <w:pStyle w:val="null3"/>
              <w:jc w:val="both"/>
            </w:pPr>
            <w:r>
              <w:rPr>
                <w:rFonts w:ascii="仿宋_GB2312" w:hAnsi="仿宋_GB2312" w:cs="仿宋_GB2312" w:eastAsia="仿宋_GB2312"/>
                <w:sz w:val="21"/>
                <w:b/>
              </w:rPr>
              <w:t>4.4衰老树修剪</w:t>
            </w:r>
          </w:p>
          <w:p>
            <w:pPr>
              <w:pStyle w:val="null3"/>
              <w:jc w:val="both"/>
            </w:pPr>
            <w:r>
              <w:rPr>
                <w:rFonts w:ascii="仿宋_GB2312" w:hAnsi="仿宋_GB2312" w:cs="仿宋_GB2312" w:eastAsia="仿宋_GB2312"/>
                <w:sz w:val="21"/>
              </w:rPr>
              <w:t>衰老树（</w:t>
            </w:r>
            <w:r>
              <w:rPr>
                <w:rFonts w:ascii="仿宋_GB2312" w:hAnsi="仿宋_GB2312" w:cs="仿宋_GB2312" w:eastAsia="仿宋_GB2312"/>
                <w:sz w:val="21"/>
              </w:rPr>
              <w:t>15年以上），以重剪为主，及时疏除病虫枝，重剪老弱枝。在加强水肥管理的基础上，以回缩为主，达到骨干枝和结果枝组的更新复壮。对特别衰弱的树体或枝干，要从基部10～20cm处锯掉，促使萌生新枝更新。一般逐年将衰弱或干枯的主枝回缩到壮枝处；对基部萌生的旺枝进行保护，培养成新的主枝；同时，疏除病虫枝、干枯枝和细弱的密生枝。</w:t>
            </w:r>
          </w:p>
          <w:p>
            <w:pPr>
              <w:pStyle w:val="null3"/>
              <w:jc w:val="both"/>
            </w:pPr>
            <w:r>
              <w:rPr>
                <w:rFonts w:ascii="仿宋_GB2312" w:hAnsi="仿宋_GB2312" w:cs="仿宋_GB2312" w:eastAsia="仿宋_GB2312"/>
                <w:sz w:val="21"/>
                <w:b/>
              </w:rPr>
              <w:t>5.灾害防控</w:t>
            </w:r>
          </w:p>
          <w:p>
            <w:pPr>
              <w:pStyle w:val="null3"/>
              <w:jc w:val="both"/>
            </w:pPr>
            <w:r>
              <w:rPr>
                <w:rFonts w:ascii="仿宋_GB2312" w:hAnsi="仿宋_GB2312" w:cs="仿宋_GB2312" w:eastAsia="仿宋_GB2312"/>
                <w:sz w:val="21"/>
                <w:b/>
              </w:rPr>
              <w:t>5.1冻害</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1）冬季冻害：采用主干培土、冬前灌水、加强树体管理预防。</w:t>
            </w:r>
          </w:p>
          <w:p>
            <w:pPr>
              <w:pStyle w:val="null3"/>
              <w:jc w:val="both"/>
            </w:pPr>
            <w:r>
              <w:rPr>
                <w:rFonts w:ascii="仿宋_GB2312" w:hAnsi="仿宋_GB2312" w:cs="仿宋_GB2312" w:eastAsia="仿宋_GB2312"/>
                <w:sz w:val="21"/>
              </w:rPr>
              <w:t>①主干培土：在入冬前，在花椒根系周围树盘直径约1m处进行培土，培土高度约10～20cm，增加土温，初春气温回升后及时刨开，并重新刨好树盘，增加树冠下土壤含量。</w:t>
            </w:r>
          </w:p>
          <w:p>
            <w:pPr>
              <w:pStyle w:val="null3"/>
              <w:jc w:val="both"/>
            </w:pPr>
            <w:r>
              <w:rPr>
                <w:rFonts w:ascii="仿宋_GB2312" w:hAnsi="仿宋_GB2312" w:cs="仿宋_GB2312" w:eastAsia="仿宋_GB2312"/>
                <w:sz w:val="21"/>
              </w:rPr>
              <w:t>②灌水：在秋末冬初霜降至寒露土壤将封冻时进行行间挖沟，顺沟灌水，可提高地温，防止冻害。</w:t>
            </w:r>
          </w:p>
          <w:p>
            <w:pPr>
              <w:pStyle w:val="null3"/>
              <w:jc w:val="both"/>
            </w:pPr>
            <w:r>
              <w:rPr>
                <w:rFonts w:ascii="仿宋_GB2312" w:hAnsi="仿宋_GB2312" w:cs="仿宋_GB2312" w:eastAsia="仿宋_GB2312"/>
                <w:sz w:val="21"/>
              </w:rPr>
              <w:t>③树干保护：地面以上70cm距离所有枝干涂抹树干保护剂，可起到防冻、防目灼、杀卵杀菌、延迟椒树的萌芽，预防倒春寒危害作用。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2）晚霜危害：采用熏烟预防。</w:t>
            </w:r>
          </w:p>
          <w:p>
            <w:pPr>
              <w:pStyle w:val="null3"/>
              <w:jc w:val="both"/>
            </w:pPr>
            <w:r>
              <w:rPr>
                <w:rFonts w:ascii="仿宋_GB2312" w:hAnsi="仿宋_GB2312" w:cs="仿宋_GB2312" w:eastAsia="仿宋_GB2312"/>
                <w:sz w:val="21"/>
              </w:rPr>
              <w:t>熏烟：提前在园内易发生冻害的地方挖坑，每亩椒园设置</w:t>
            </w:r>
            <w:r>
              <w:rPr>
                <w:rFonts w:ascii="仿宋_GB2312" w:hAnsi="仿宋_GB2312" w:cs="仿宋_GB2312" w:eastAsia="仿宋_GB2312"/>
                <w:sz w:val="21"/>
              </w:rPr>
              <w:t>3～5个坑，当气温降至2℃以下时，以锯末、柴草、糠壳、稻壳、枯枝落叶等为燃料，捂暗火烧烟，使浓烟覆盖全园，增加苗木抗寒能力。</w:t>
            </w:r>
          </w:p>
          <w:p>
            <w:pPr>
              <w:pStyle w:val="null3"/>
              <w:jc w:val="both"/>
            </w:pPr>
            <w:r>
              <w:rPr>
                <w:rFonts w:ascii="仿宋_GB2312" w:hAnsi="仿宋_GB2312" w:cs="仿宋_GB2312" w:eastAsia="仿宋_GB2312"/>
                <w:sz w:val="21"/>
                <w:b/>
              </w:rPr>
              <w:t>5.2虫害</w:t>
            </w:r>
          </w:p>
          <w:p>
            <w:pPr>
              <w:pStyle w:val="null3"/>
              <w:jc w:val="both"/>
            </w:pPr>
            <w:r>
              <w:rPr>
                <w:rFonts w:ascii="仿宋_GB2312" w:hAnsi="仿宋_GB2312" w:cs="仿宋_GB2312" w:eastAsia="仿宋_GB2312"/>
                <w:sz w:val="21"/>
              </w:rPr>
              <w:t>物理防治：通过悬挂黄色诱蚜板（</w:t>
            </w:r>
            <w:r>
              <w:rPr>
                <w:rFonts w:ascii="仿宋_GB2312" w:hAnsi="仿宋_GB2312" w:cs="仿宋_GB2312" w:eastAsia="仿宋_GB2312"/>
                <w:sz w:val="21"/>
              </w:rPr>
              <w:t>1块/株）、安装诱虫灯6台诱杀具有趋光性、迁飞性的蚜虫、花椒窄吉丁、跳甲等鞘翅目、鳞翅目害虫。</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1）蚜虫防治</w:t>
            </w:r>
          </w:p>
          <w:p>
            <w:pPr>
              <w:pStyle w:val="null3"/>
              <w:jc w:val="both"/>
            </w:pPr>
            <w:r>
              <w:rPr>
                <w:rFonts w:ascii="仿宋_GB2312" w:hAnsi="仿宋_GB2312" w:cs="仿宋_GB2312" w:eastAsia="仿宋_GB2312"/>
                <w:sz w:val="21"/>
              </w:rPr>
              <w:t>绿色生产示范区防治：</w:t>
            </w:r>
          </w:p>
          <w:p>
            <w:pPr>
              <w:pStyle w:val="null3"/>
              <w:numPr>
                <w:ilvl w:val="0"/>
                <w:numId w:val="1"/>
              </w:numPr>
              <w:jc w:val="both"/>
            </w:pPr>
            <w:r>
              <w:rPr>
                <w:rFonts w:ascii="仿宋_GB2312" w:hAnsi="仿宋_GB2312" w:cs="仿宋_GB2312" w:eastAsia="仿宋_GB2312"/>
                <w:sz w:val="21"/>
              </w:rPr>
              <w:t>尿洗合剂，配制方法：洗衣粉：尿素：水</w:t>
            </w:r>
            <w:r>
              <w:rPr>
                <w:rFonts w:ascii="仿宋_GB2312" w:hAnsi="仿宋_GB2312" w:cs="仿宋_GB2312" w:eastAsia="仿宋_GB2312"/>
                <w:sz w:val="21"/>
              </w:rPr>
              <w:t>=1:4:400，连续喷3次，7～10天一次。</w:t>
            </w:r>
          </w:p>
          <w:p>
            <w:pPr>
              <w:pStyle w:val="null3"/>
              <w:numPr>
                <w:ilvl w:val="0"/>
                <w:numId w:val="1"/>
              </w:numPr>
              <w:jc w:val="both"/>
            </w:pPr>
            <w:r>
              <w:rPr>
                <w:rFonts w:ascii="仿宋_GB2312" w:hAnsi="仿宋_GB2312" w:cs="仿宋_GB2312" w:eastAsia="仿宋_GB2312"/>
                <w:sz w:val="21"/>
              </w:rPr>
              <w:t>25%吡蚜酮2000～3000倍液+30%噻虫嗪4000倍+0.025%有机硅+0.1%～0.2%硼肥；</w:t>
            </w:r>
          </w:p>
          <w:p>
            <w:pPr>
              <w:pStyle w:val="null3"/>
              <w:numPr>
                <w:ilvl w:val="0"/>
                <w:numId w:val="1"/>
              </w:numPr>
              <w:jc w:val="both"/>
            </w:pPr>
            <w:r>
              <w:rPr>
                <w:rFonts w:ascii="仿宋_GB2312" w:hAnsi="仿宋_GB2312" w:cs="仿宋_GB2312" w:eastAsia="仿宋_GB2312"/>
                <w:sz w:val="21"/>
              </w:rPr>
              <w:t>22.4%螺虫乙酯4000～5000倍+20%氟啶虫酰胺3000～5000倍液+65%代森锌可湿性粉剂600倍液。</w:t>
            </w:r>
          </w:p>
          <w:p>
            <w:pPr>
              <w:pStyle w:val="null3"/>
              <w:jc w:val="both"/>
            </w:pPr>
            <w:r>
              <w:rPr>
                <w:rFonts w:ascii="仿宋_GB2312" w:hAnsi="仿宋_GB2312" w:cs="仿宋_GB2312" w:eastAsia="仿宋_GB2312"/>
                <w:sz w:val="21"/>
              </w:rPr>
              <w:t>有机生产示范区防治：悬挂瓢虫卵卡、黄板、树立诱虫灯、喷施苦参碱防治蚜虫。</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2）蚧壳虫防治</w:t>
            </w:r>
          </w:p>
          <w:p>
            <w:pPr>
              <w:pStyle w:val="null3"/>
              <w:jc w:val="both"/>
            </w:pPr>
            <w:r>
              <w:rPr>
                <w:rFonts w:ascii="仿宋_GB2312" w:hAnsi="仿宋_GB2312" w:cs="仿宋_GB2312" w:eastAsia="仿宋_GB2312"/>
                <w:sz w:val="21"/>
              </w:rPr>
              <w:t>项目区采用以下方法进行蚧壳虫绿色、有机防治：</w:t>
            </w:r>
          </w:p>
          <w:p>
            <w:pPr>
              <w:pStyle w:val="null3"/>
              <w:numPr>
                <w:ilvl w:val="0"/>
                <w:numId w:val="1"/>
              </w:numPr>
              <w:jc w:val="both"/>
            </w:pPr>
            <w:r>
              <w:rPr>
                <w:rFonts w:ascii="仿宋_GB2312" w:hAnsi="仿宋_GB2312" w:cs="仿宋_GB2312" w:eastAsia="仿宋_GB2312"/>
                <w:sz w:val="21"/>
              </w:rPr>
              <w:t>冬季修剪和清园时，用草把或刷子抹杀掉主干及枝杈的蚧壳虫。</w:t>
            </w:r>
          </w:p>
          <w:p>
            <w:pPr>
              <w:pStyle w:val="null3"/>
              <w:numPr>
                <w:ilvl w:val="0"/>
                <w:numId w:val="1"/>
              </w:numPr>
              <w:jc w:val="both"/>
            </w:pPr>
            <w:r>
              <w:rPr>
                <w:rFonts w:ascii="仿宋_GB2312" w:hAnsi="仿宋_GB2312" w:cs="仿宋_GB2312" w:eastAsia="仿宋_GB2312"/>
                <w:sz w:val="21"/>
              </w:rPr>
              <w:t>冬季剪除虫枝集中烧毁。</w:t>
            </w:r>
          </w:p>
          <w:p>
            <w:pPr>
              <w:pStyle w:val="null3"/>
              <w:numPr>
                <w:ilvl w:val="0"/>
                <w:numId w:val="1"/>
              </w:numPr>
              <w:jc w:val="both"/>
            </w:pPr>
            <w:r>
              <w:rPr>
                <w:rFonts w:ascii="仿宋_GB2312" w:hAnsi="仿宋_GB2312" w:cs="仿宋_GB2312" w:eastAsia="仿宋_GB2312"/>
                <w:sz w:val="21"/>
              </w:rPr>
              <w:t>5月进行人工采囊，带离田间踩死。</w:t>
            </w:r>
          </w:p>
          <w:p>
            <w:pPr>
              <w:pStyle w:val="null3"/>
              <w:numPr>
                <w:ilvl w:val="0"/>
                <w:numId w:val="1"/>
              </w:numPr>
              <w:jc w:val="both"/>
            </w:pPr>
            <w:r>
              <w:rPr>
                <w:rFonts w:ascii="仿宋_GB2312" w:hAnsi="仿宋_GB2312" w:cs="仿宋_GB2312" w:eastAsia="仿宋_GB2312"/>
                <w:sz w:val="21"/>
              </w:rPr>
              <w:t>生长期用</w:t>
            </w:r>
            <w:r>
              <w:rPr>
                <w:rFonts w:ascii="仿宋_GB2312" w:hAnsi="仿宋_GB2312" w:cs="仿宋_GB2312" w:eastAsia="仿宋_GB2312"/>
                <w:sz w:val="21"/>
              </w:rPr>
              <w:t>0.3%苦参碱水剂400倍液全树喷施。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3）花椒窄吉丁防治</w:t>
            </w:r>
          </w:p>
          <w:p>
            <w:pPr>
              <w:pStyle w:val="null3"/>
              <w:jc w:val="both"/>
            </w:pPr>
            <w:r>
              <w:rPr>
                <w:rFonts w:ascii="仿宋_GB2312" w:hAnsi="仿宋_GB2312" w:cs="仿宋_GB2312" w:eastAsia="仿宋_GB2312"/>
                <w:sz w:val="21"/>
              </w:rPr>
              <w:t>a.修剪或砍伐的干枝、死树不能随地长期堆放，窄吉丁幼虫就寄生在干枝、死树树体内，老熟后出来传播危害其他椒树，要集中烧毁或带离田间，控制虫源。</w:t>
            </w:r>
          </w:p>
          <w:p>
            <w:pPr>
              <w:pStyle w:val="null3"/>
              <w:jc w:val="both"/>
            </w:pPr>
            <w:r>
              <w:rPr>
                <w:rFonts w:ascii="仿宋_GB2312" w:hAnsi="仿宋_GB2312" w:cs="仿宋_GB2312" w:eastAsia="仿宋_GB2312"/>
                <w:sz w:val="21"/>
              </w:rPr>
              <w:t>b.4月中旬～5月上旬和6月上旬，用橡皮锤或平整的斧头（包布）以流胶部位为中心向周围认真齐齐锤击流胶部位，杀死皮下幼虫，直到好皮边缘为止，清除被害部位胶体，再用刀具将被害部位切“十”字形切口，把切口稍作撬开，绿色栽植区域涂抹吡虫啉10～15倍液；有机栽植区域涂抹1.5%除虫菊素水乳剂。</w:t>
            </w:r>
          </w:p>
          <w:p>
            <w:pPr>
              <w:pStyle w:val="null3"/>
              <w:jc w:val="both"/>
            </w:pPr>
            <w:r>
              <w:rPr>
                <w:rFonts w:ascii="仿宋_GB2312" w:hAnsi="仿宋_GB2312" w:cs="仿宋_GB2312" w:eastAsia="仿宋_GB2312"/>
                <w:sz w:val="21"/>
              </w:rPr>
              <w:t>c.5月中旬～6月上旬用1.5%除虫菊素水乳剂400倍液+金龟子绿僵菌可分散油悬浮剂500倍液喷施树冠及树干。</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4）潜叶跳甲防治</w:t>
            </w:r>
          </w:p>
          <w:p>
            <w:pPr>
              <w:pStyle w:val="null3"/>
              <w:jc w:val="both"/>
            </w:pPr>
            <w:r>
              <w:rPr>
                <w:rFonts w:ascii="仿宋_GB2312" w:hAnsi="仿宋_GB2312" w:cs="仿宋_GB2312" w:eastAsia="仿宋_GB2312"/>
                <w:sz w:val="21"/>
              </w:rPr>
              <w:t>绿色生产示范区防治：</w:t>
            </w:r>
          </w:p>
          <w:p>
            <w:pPr>
              <w:pStyle w:val="null3"/>
              <w:jc w:val="both"/>
            </w:pPr>
            <w:r>
              <w:rPr>
                <w:rFonts w:ascii="仿宋_GB2312" w:hAnsi="仿宋_GB2312" w:cs="仿宋_GB2312" w:eastAsia="仿宋_GB2312"/>
                <w:sz w:val="21"/>
              </w:rPr>
              <w:t>a.辛硫磷，撒入土中，结合浅锄。</w:t>
            </w:r>
          </w:p>
          <w:p>
            <w:pPr>
              <w:pStyle w:val="null3"/>
              <w:jc w:val="both"/>
            </w:pPr>
            <w:r>
              <w:rPr>
                <w:rFonts w:ascii="仿宋_GB2312" w:hAnsi="仿宋_GB2312" w:cs="仿宋_GB2312" w:eastAsia="仿宋_GB2312"/>
                <w:sz w:val="21"/>
              </w:rPr>
              <w:t>b.树冠喷70%啶虫脒1000～1500倍液或70%噻虫嗪1500倍液。</w:t>
            </w:r>
          </w:p>
          <w:p>
            <w:pPr>
              <w:pStyle w:val="null3"/>
              <w:jc w:val="both"/>
            </w:pPr>
            <w:r>
              <w:rPr>
                <w:rFonts w:ascii="仿宋_GB2312" w:hAnsi="仿宋_GB2312" w:cs="仿宋_GB2312" w:eastAsia="仿宋_GB2312"/>
                <w:sz w:val="21"/>
              </w:rPr>
              <w:t>有机生产示范区防治：喷施</w:t>
            </w:r>
            <w:r>
              <w:rPr>
                <w:rFonts w:ascii="仿宋_GB2312" w:hAnsi="仿宋_GB2312" w:cs="仿宋_GB2312" w:eastAsia="仿宋_GB2312"/>
                <w:sz w:val="21"/>
              </w:rPr>
              <w:t>1.5%除虫菊素水乳剂400倍+32000IU/mg苏云金杆菌可湿性粉剂300～500倍液。</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5）红蜘蛛防治</w:t>
            </w:r>
          </w:p>
          <w:p>
            <w:pPr>
              <w:pStyle w:val="null3"/>
              <w:jc w:val="both"/>
            </w:pPr>
            <w:r>
              <w:rPr>
                <w:rFonts w:ascii="仿宋_GB2312" w:hAnsi="仿宋_GB2312" w:cs="仿宋_GB2312" w:eastAsia="仿宋_GB2312"/>
                <w:sz w:val="21"/>
              </w:rPr>
              <w:t>绿色生产示范区防治：</w:t>
            </w:r>
            <w:r>
              <w:rPr>
                <w:rFonts w:ascii="仿宋_GB2312" w:hAnsi="仿宋_GB2312" w:cs="仿宋_GB2312" w:eastAsia="仿宋_GB2312"/>
                <w:sz w:val="21"/>
              </w:rPr>
              <w:t>1%阿维菌素乳油2500～3000倍液或110g/L乙螨唑悬浮剂5000～7500倍液。</w:t>
            </w:r>
          </w:p>
          <w:p>
            <w:pPr>
              <w:pStyle w:val="null3"/>
              <w:jc w:val="both"/>
            </w:pPr>
            <w:r>
              <w:rPr>
                <w:rFonts w:ascii="仿宋_GB2312" w:hAnsi="仿宋_GB2312" w:cs="仿宋_GB2312" w:eastAsia="仿宋_GB2312"/>
                <w:sz w:val="21"/>
              </w:rPr>
              <w:t>有机生产示范区防治：使用</w:t>
            </w:r>
            <w:r>
              <w:rPr>
                <w:rFonts w:ascii="仿宋_GB2312" w:hAnsi="仿宋_GB2312" w:cs="仿宋_GB2312" w:eastAsia="仿宋_GB2312"/>
                <w:sz w:val="21"/>
              </w:rPr>
              <w:t>0.3%苦参碱水剂400倍液或5%鱼藤酮微乳剂500倍液进行喷雾防治。</w:t>
            </w:r>
          </w:p>
          <w:p>
            <w:pPr>
              <w:pStyle w:val="null3"/>
              <w:jc w:val="both"/>
            </w:pPr>
            <w:r>
              <w:rPr>
                <w:rFonts w:ascii="仿宋_GB2312" w:hAnsi="仿宋_GB2312" w:cs="仿宋_GB2312" w:eastAsia="仿宋_GB2312"/>
                <w:sz w:val="21"/>
                <w:b/>
              </w:rPr>
              <w:t>5.3病害</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1）干腐病防治</w:t>
            </w:r>
          </w:p>
          <w:p>
            <w:pPr>
              <w:pStyle w:val="null3"/>
              <w:jc w:val="both"/>
            </w:pPr>
            <w:r>
              <w:rPr>
                <w:rFonts w:ascii="仿宋_GB2312" w:hAnsi="仿宋_GB2312" w:cs="仿宋_GB2312" w:eastAsia="仿宋_GB2312"/>
                <w:sz w:val="21"/>
              </w:rPr>
              <w:t>绿色生产示范区防治：</w:t>
            </w:r>
          </w:p>
          <w:p>
            <w:pPr>
              <w:pStyle w:val="null3"/>
              <w:numPr>
                <w:ilvl w:val="0"/>
                <w:numId w:val="1"/>
              </w:numPr>
              <w:jc w:val="both"/>
            </w:pPr>
            <w:r>
              <w:rPr>
                <w:rFonts w:ascii="仿宋_GB2312" w:hAnsi="仿宋_GB2312" w:cs="仿宋_GB2312" w:eastAsia="仿宋_GB2312"/>
                <w:sz w:val="21"/>
              </w:rPr>
              <w:t>喷施</w:t>
            </w:r>
            <w:r>
              <w:rPr>
                <w:rFonts w:ascii="仿宋_GB2312" w:hAnsi="仿宋_GB2312" w:cs="仿宋_GB2312" w:eastAsia="仿宋_GB2312"/>
                <w:sz w:val="21"/>
              </w:rPr>
              <w:t>25%戊唑醇水乳剂2000倍液或25%吡唑醚菌酯1000～2000倍液。</w:t>
            </w:r>
          </w:p>
          <w:p>
            <w:pPr>
              <w:pStyle w:val="null3"/>
              <w:numPr>
                <w:ilvl w:val="0"/>
                <w:numId w:val="1"/>
              </w:numPr>
              <w:jc w:val="both"/>
            </w:pPr>
            <w:r>
              <w:rPr>
                <w:rFonts w:ascii="仿宋_GB2312" w:hAnsi="仿宋_GB2312" w:cs="仿宋_GB2312" w:eastAsia="仿宋_GB2312"/>
                <w:sz w:val="21"/>
              </w:rPr>
              <w:t>刮除树干及枝上发生较轻的病斑，刮后伤口涂抹</w:t>
            </w:r>
            <w:r>
              <w:rPr>
                <w:rFonts w:ascii="仿宋_GB2312" w:hAnsi="仿宋_GB2312" w:cs="仿宋_GB2312" w:eastAsia="仿宋_GB2312"/>
                <w:sz w:val="21"/>
              </w:rPr>
              <w:t>5波美度石硫合剂。</w:t>
            </w:r>
          </w:p>
          <w:p>
            <w:pPr>
              <w:pStyle w:val="null3"/>
              <w:jc w:val="both"/>
            </w:pPr>
            <w:r>
              <w:rPr>
                <w:rFonts w:ascii="仿宋_GB2312" w:hAnsi="仿宋_GB2312" w:cs="仿宋_GB2312" w:eastAsia="仿宋_GB2312"/>
                <w:sz w:val="21"/>
              </w:rPr>
              <w:t>有机生产示范区防治：</w:t>
            </w:r>
          </w:p>
          <w:p>
            <w:pPr>
              <w:pStyle w:val="null3"/>
              <w:jc w:val="both"/>
            </w:pPr>
            <w:r>
              <w:rPr>
                <w:rFonts w:ascii="仿宋_GB2312" w:hAnsi="仿宋_GB2312" w:cs="仿宋_GB2312" w:eastAsia="仿宋_GB2312"/>
                <w:sz w:val="21"/>
              </w:rPr>
              <w:t>修剪或耕作避免留下较大伤口，直径超过</w:t>
            </w:r>
            <w:r>
              <w:rPr>
                <w:rFonts w:ascii="仿宋_GB2312" w:hAnsi="仿宋_GB2312" w:cs="仿宋_GB2312" w:eastAsia="仿宋_GB2312"/>
                <w:sz w:val="21"/>
              </w:rPr>
              <w:t>1cm的剪口或者机械伤口和虫害伤口要及时涂抹封口剂处理。做好蛀干害虫防治。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2）煤烟病防治</w:t>
            </w:r>
          </w:p>
          <w:p>
            <w:pPr>
              <w:pStyle w:val="null3"/>
              <w:jc w:val="both"/>
            </w:pPr>
            <w:r>
              <w:rPr>
                <w:rFonts w:ascii="仿宋_GB2312" w:hAnsi="仿宋_GB2312" w:cs="仿宋_GB2312" w:eastAsia="仿宋_GB2312"/>
                <w:sz w:val="21"/>
              </w:rPr>
              <w:t>烟煤病防治以预防为主，日常管护中从以下几方面加强椒园管理：合理施肥，秋季增施有机肥或生物有机肥，深翻改良土壤，缓解土壤板结，增强树势，提高植株抗病能力；合理修剪，疏除交叉枝、下垂枝、病虫枝和细弱枝，特别是内膛和下部过密枝条，保持树冠通风透光良好；清园时结合修剪剪除干枯枝和病虫枝，清除园中枯枝落叶集中处理；蚜虫、蚧壳虫发生严重时，及时防治，并剪除被害枝条，集中处理。</w:t>
            </w:r>
          </w:p>
          <w:p>
            <w:pPr>
              <w:pStyle w:val="null3"/>
              <w:jc w:val="both"/>
            </w:pPr>
            <w:r>
              <w:rPr>
                <w:rFonts w:ascii="仿宋_GB2312" w:hAnsi="仿宋_GB2312" w:cs="仿宋_GB2312" w:eastAsia="仿宋_GB2312"/>
                <w:sz w:val="21"/>
              </w:rPr>
              <w:t>绿色生产示范区防治：</w:t>
            </w:r>
          </w:p>
          <w:p>
            <w:pPr>
              <w:pStyle w:val="null3"/>
              <w:jc w:val="both"/>
            </w:pPr>
            <w:r>
              <w:rPr>
                <w:rFonts w:ascii="仿宋_GB2312" w:hAnsi="仿宋_GB2312" w:cs="仿宋_GB2312" w:eastAsia="仿宋_GB2312"/>
                <w:sz w:val="21"/>
              </w:rPr>
              <w:t>a.25%的戊唑醇水乳剂2000倍液；</w:t>
            </w:r>
          </w:p>
          <w:p>
            <w:pPr>
              <w:pStyle w:val="null3"/>
              <w:jc w:val="both"/>
            </w:pPr>
            <w:r>
              <w:rPr>
                <w:rFonts w:ascii="仿宋_GB2312" w:hAnsi="仿宋_GB2312" w:cs="仿宋_GB2312" w:eastAsia="仿宋_GB2312"/>
                <w:sz w:val="21"/>
              </w:rPr>
              <w:t>b.25%吡蚜酮2000～3000倍液＋80%多菌灵800倍液+氨基酸叶面肥。</w:t>
            </w:r>
          </w:p>
          <w:p>
            <w:pPr>
              <w:pStyle w:val="null3"/>
              <w:jc w:val="both"/>
            </w:pPr>
            <w:r>
              <w:rPr>
                <w:rFonts w:ascii="仿宋_GB2312" w:hAnsi="仿宋_GB2312" w:cs="仿宋_GB2312" w:eastAsia="仿宋_GB2312"/>
                <w:sz w:val="21"/>
              </w:rPr>
              <w:t>有机生产示范区防治：</w:t>
            </w:r>
          </w:p>
          <w:p>
            <w:pPr>
              <w:pStyle w:val="null3"/>
              <w:jc w:val="both"/>
            </w:pPr>
            <w:r>
              <w:rPr>
                <w:rFonts w:ascii="仿宋_GB2312" w:hAnsi="仿宋_GB2312" w:cs="仿宋_GB2312" w:eastAsia="仿宋_GB2312"/>
                <w:sz w:val="21"/>
              </w:rPr>
              <w:t>使用</w:t>
            </w:r>
            <w:r>
              <w:rPr>
                <w:rFonts w:ascii="仿宋_GB2312" w:hAnsi="仿宋_GB2312" w:cs="仿宋_GB2312" w:eastAsia="仿宋_GB2312"/>
                <w:sz w:val="21"/>
              </w:rPr>
              <w:t>99%矿物油乳油300倍＋0. 3%苦参碱乳油300倍喷雾可消除煤污。</w:t>
            </w:r>
          </w:p>
          <w:p>
            <w:pPr>
              <w:pStyle w:val="null3"/>
              <w:jc w:val="both"/>
            </w:pPr>
            <w:r>
              <w:rPr>
                <w:rFonts w:ascii="仿宋_GB2312" w:hAnsi="仿宋_GB2312" w:cs="仿宋_GB2312" w:eastAsia="仿宋_GB2312"/>
                <w:sz w:val="21"/>
              </w:rPr>
              <w:t>通过上述方法无法控制病虫害大面积发生的采用生物源、矿物源药剂进行防治。（详见附件</w:t>
            </w:r>
            <w:r>
              <w:rPr>
                <w:rFonts w:ascii="仿宋_GB2312" w:hAnsi="仿宋_GB2312" w:cs="仿宋_GB2312" w:eastAsia="仿宋_GB2312"/>
                <w:sz w:val="21"/>
              </w:rPr>
              <w:t>12）</w:t>
            </w:r>
          </w:p>
          <w:p>
            <w:pPr>
              <w:pStyle w:val="null3"/>
              <w:jc w:val="both"/>
            </w:pPr>
            <w:r>
              <w:rPr>
                <w:rFonts w:ascii="仿宋_GB2312" w:hAnsi="仿宋_GB2312" w:cs="仿宋_GB2312" w:eastAsia="仿宋_GB2312"/>
                <w:sz w:val="21"/>
                <w:b/>
              </w:rPr>
              <w:t>6.机械应用及智慧椒园</w:t>
            </w:r>
          </w:p>
          <w:p>
            <w:pPr>
              <w:pStyle w:val="null3"/>
              <w:jc w:val="both"/>
            </w:pPr>
            <w:r>
              <w:rPr>
                <w:rFonts w:ascii="仿宋_GB2312" w:hAnsi="仿宋_GB2312" w:cs="仿宋_GB2312" w:eastAsia="仿宋_GB2312"/>
                <w:sz w:val="21"/>
              </w:rPr>
              <w:t>主要应用旋耕机、割草机、打药机、烘干机、植保无人机等花椒生产全程机械化作业设备，减少劳动力成本，提高生产效率。同时，建立远程气象因子、土壤养分及花椒生长物候期智能监测系统，随时观测气象因子，土壤主要养分及花椒生长物候期，为冻害预防、病虫害防控、抗旱保墒及灾害预防和补救措施做出科学的决策。</w:t>
            </w:r>
          </w:p>
          <w:p>
            <w:pPr>
              <w:pStyle w:val="null3"/>
              <w:jc w:val="both"/>
            </w:pPr>
            <w:r>
              <w:rPr>
                <w:rFonts w:ascii="仿宋_GB2312" w:hAnsi="仿宋_GB2312" w:cs="仿宋_GB2312" w:eastAsia="仿宋_GB2312"/>
                <w:b/>
              </w:rPr>
              <w:t>三、采购清单</w:t>
            </w:r>
          </w:p>
          <w:tbl>
            <w:tblPr>
              <w:tblInd w:type="dxa" w:w="45"/>
              <w:tblBorders>
                <w:top w:val="none" w:color="000000" w:sz="4"/>
                <w:left w:val="none" w:color="000000" w:sz="4"/>
                <w:bottom w:val="none" w:color="000000" w:sz="4"/>
                <w:right w:val="none" w:color="000000" w:sz="4"/>
                <w:insideH w:val="none"/>
                <w:insideV w:val="none"/>
              </w:tblBorders>
            </w:tblPr>
            <w:tblGrid>
              <w:gridCol w:w="630"/>
              <w:gridCol w:w="441"/>
              <w:gridCol w:w="661"/>
              <w:gridCol w:w="294"/>
              <w:gridCol w:w="514"/>
            </w:tblGrid>
            <w:tr>
              <w:tc>
                <w:tcPr>
                  <w:tcW w:type="dxa" w:w="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2"/>
                      <w:b/>
                    </w:rPr>
                    <w:t>序号</w:t>
                  </w:r>
                </w:p>
              </w:tc>
              <w:tc>
                <w:tcPr>
                  <w:tcW w:type="dxa" w:w="4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2"/>
                      <w:b/>
                    </w:rPr>
                    <w:t>内容</w:t>
                  </w:r>
                </w:p>
              </w:tc>
              <w:tc>
                <w:tcPr>
                  <w:tcW w:type="dxa" w:w="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2"/>
                      <w:b/>
                    </w:rPr>
                    <w:t>规格</w:t>
                  </w:r>
                </w:p>
              </w:tc>
              <w:tc>
                <w:tcPr>
                  <w:tcW w:type="dxa" w:w="2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2"/>
                      <w:b/>
                    </w:rPr>
                    <w:t>单位</w:t>
                  </w:r>
                </w:p>
              </w:tc>
              <w:tc>
                <w:tcPr>
                  <w:tcW w:type="dxa" w:w="5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2"/>
                      <w:b/>
                    </w:rPr>
                    <w:t>数量</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苗木</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营养杯一级苗木</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株</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10000</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生物有机肥</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40kg</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袋</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500</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3</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生物菌肥</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40kg</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袋</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2000</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4</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叶面肥</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1000ml</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瓶</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2000</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5</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矿物油</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1kg</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瓶</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2500</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6</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苦参碱</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200ml</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瓶</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2500</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7</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枯草芽孢杆菌</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1</w:t>
                  </w:r>
                  <w:r>
                    <w:rPr>
                      <w:rFonts w:ascii="仿宋_GB2312" w:hAnsi="仿宋_GB2312" w:cs="仿宋_GB2312" w:eastAsia="仿宋_GB2312"/>
                      <w:sz w:val="21"/>
                    </w:rPr>
                    <w:t>00g</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袋</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2500</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8</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树干长效保护剂</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10kg</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桶</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500</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10</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检测化验费</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土壤、花椒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次</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60</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11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修枝剪、锯套装</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合金钢</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500</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12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气象因子土壤养分及生产过程监测</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GPRS4G通信组件、视频监控、摄像头等</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4</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13</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诱虫灯</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太阳能、频振式</w:t>
                  </w:r>
                  <w:r>
                    <w:rPr>
                      <w:rFonts w:ascii="仿宋_GB2312" w:hAnsi="仿宋_GB2312" w:cs="仿宋_GB2312" w:eastAsia="仿宋_GB2312"/>
                      <w:sz w:val="21"/>
                    </w:rPr>
                    <w:t>12v24ah</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个</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10</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14</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技术手册</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A4铜版纸</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本</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500</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15</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培训彩页</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A3铜版纸双面</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张</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20000</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16</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技术咨询</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after="60"/>
                    <w:jc w:val="center"/>
                  </w:pPr>
                  <w:r>
                    <w:rPr>
                      <w:rFonts w:ascii="仿宋_GB2312" w:hAnsi="仿宋_GB2312" w:cs="仿宋_GB2312" w:eastAsia="仿宋_GB2312"/>
                      <w:sz w:val="21"/>
                    </w:rPr>
                    <w:t>1</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合同签订之日起服务期一年。</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发货前，乙方应对货物(设备)的名称、品牌、规格、型号、数量等进行准确而全面的检验，并出具质量合格证明材料(加盖公章)。2、采购人将在供货单位供货现场组织验收，如果货物达不到质量标准，采购人有权拒绝接收。合格后签发《验收合格单》。验收不合格的，成交供应商必须在接到通知后7个日历日内确保货物通过验收。如接到通知后7个日历日内验收仍不合格，采购人可提出索赔或取消其供货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与合同款项的支付相关，不得超出《民法典》中对于违约的责任上限。如若发生争议，双方应积极协调，尽快处理。如协调无果应当在发生合同所在地法院进行诉讼。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合同条款响应.docx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技术和商务偏离表.docx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供应商应为中型、小型或微型企业，本项目所属行业：农、林、牧、渔业。（农、林、牧、渔业。营业收入20000万元以下的为中小微型企业。其中，营业收入500万元及以上的为中型企业，营业收入50万元及以上的为小型企业，营业收入50万元以下的为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磋商的，须出具法定代表人身份证明；法定代表人授权委托代理人参加磋商的，须出具法定代表人授权书（附法定代表人、被授权委托代理人身份证复印件或扫描件）及被授权委托代理人自响应文件提交截止日前六个月内任意一个月在本单位的社保缴纳证明。</w:t>
            </w:r>
          </w:p>
        </w:tc>
        <w:tc>
          <w:tcPr>
            <w:tcW w:type="dxa" w:w="1661"/>
          </w:tcPr>
          <w:p>
            <w:pPr>
              <w:pStyle w:val="null3"/>
            </w:pPr>
            <w:r>
              <w:rPr>
                <w:rFonts w:ascii="仿宋_GB2312" w:hAnsi="仿宋_GB2312" w:cs="仿宋_GB2312" w:eastAsia="仿宋_GB2312"/>
              </w:rPr>
              <w:t>技术方案.docx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若为代理商须提供农药经营许可证和所投产品的肥料登记证或农业农村部肥料备案信息系统备案截图，并提供农药生产厂商《农药登记证》、《农药生产许可证》：若为生产商须提供《农药登记证》、《农药生产许可证》和所投产品的肥料登记证或农业农村部肥料备案信息系统备案截图。</w:t>
            </w:r>
          </w:p>
        </w:tc>
        <w:tc>
          <w:tcPr>
            <w:tcW w:type="dxa" w:w="1661"/>
          </w:tcPr>
          <w:p>
            <w:pPr>
              <w:pStyle w:val="null3"/>
            </w:pPr>
            <w:r>
              <w:rPr>
                <w:rFonts w:ascii="仿宋_GB2312" w:hAnsi="仿宋_GB2312" w:cs="仿宋_GB2312" w:eastAsia="仿宋_GB2312"/>
              </w:rPr>
              <w:t>技术和商务偏离表.docx 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政府采购网”（www.ccgp.gov.cn）列入“政府采购严重违法失信行为记录名单”；（响应文件解密完成后查询相关信用记录，对列入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陕西省政府采购供应商拒绝政府采购领域商业贿赂承诺书.docx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竞争性磋商响应文件是否按竞争性磋商文件要求签署、盖章的</w:t>
            </w:r>
          </w:p>
        </w:tc>
        <w:tc>
          <w:tcPr>
            <w:tcW w:type="dxa" w:w="3322"/>
          </w:tcPr>
          <w:p>
            <w:pPr>
              <w:pStyle w:val="null3"/>
            </w:pPr>
            <w:r>
              <w:rPr>
                <w:rFonts w:ascii="仿宋_GB2312" w:hAnsi="仿宋_GB2312" w:cs="仿宋_GB2312" w:eastAsia="仿宋_GB2312"/>
              </w:rPr>
              <w:t>按竞争性磋商响应文件要求签署、盖章的</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响应文件封面 标的清单 报价表 响应函 分项报价表.pdf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 满足磋商文件要求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竞争性磋商文件是否含有采购人不能接受的附加条件的或其他情形</w:t>
            </w:r>
          </w:p>
        </w:tc>
        <w:tc>
          <w:tcPr>
            <w:tcW w:type="dxa" w:w="3322"/>
          </w:tcPr>
          <w:p>
            <w:pPr>
              <w:pStyle w:val="null3"/>
            </w:pPr>
            <w:r>
              <w:rPr>
                <w:rFonts w:ascii="仿宋_GB2312" w:hAnsi="仿宋_GB2312" w:cs="仿宋_GB2312" w:eastAsia="仿宋_GB2312"/>
              </w:rPr>
              <w:t>竞争性磋商文件未含有采购人不能接受的附加条件的或其他情形</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评审内容包含：①项目理解；②项目重点、难点分析； 赋分标准（8分）：每项评审内容不存在缺陷得4分，满分8分；每项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技术和商务偏离表.docx</w:t>
            </w:r>
          </w:p>
        </w:tc>
      </w:tr>
      <w:tr>
        <w:tc>
          <w:tcPr>
            <w:tcW w:type="dxa" w:w="831"/>
            <w:vMerge/>
          </w:tcP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评审内容包含：①项目目标；②项目计划；③项目方案；④项目安全服务方案；赋分标准（12分）：每项评审内容不存在缺陷得3分，满分12分；每项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技术和商务偏离表.docx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包含：①项目质量保障措施；②项目质量标准；③保证人员按时到岗措施。赋分标准（12分）：每项评审内容不存在缺陷得4分，满分12分；每项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技术和商务偏离表.docx</w:t>
            </w:r>
          </w:p>
        </w:tc>
      </w:tr>
      <w:tr>
        <w:tc>
          <w:tcPr>
            <w:tcW w:type="dxa" w:w="831"/>
            <w:vMerge/>
          </w:tcPr>
          <w:p/>
        </w:tc>
        <w:tc>
          <w:tcPr>
            <w:tcW w:type="dxa" w:w="1661"/>
          </w:tcPr>
          <w:p>
            <w:pPr>
              <w:pStyle w:val="null3"/>
            </w:pPr>
            <w:r>
              <w:rPr>
                <w:rFonts w:ascii="仿宋_GB2312" w:hAnsi="仿宋_GB2312" w:cs="仿宋_GB2312" w:eastAsia="仿宋_GB2312"/>
              </w:rPr>
              <w:t>项目进度计划及保证措施</w:t>
            </w:r>
          </w:p>
        </w:tc>
        <w:tc>
          <w:tcPr>
            <w:tcW w:type="dxa" w:w="2492"/>
          </w:tcPr>
          <w:p>
            <w:pPr>
              <w:pStyle w:val="null3"/>
            </w:pPr>
            <w:r>
              <w:rPr>
                <w:rFonts w:ascii="仿宋_GB2312" w:hAnsi="仿宋_GB2312" w:cs="仿宋_GB2312" w:eastAsia="仿宋_GB2312"/>
              </w:rPr>
              <w:t>评审内容包含：①各阶段进度控制措施；②进度控制保证措施。赋分标准（8分）：每项评审内容不存在缺陷得4分，满分8分；每项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技术和商务偏离表.docx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包含：①应急情况处理措施；②突发事件应急人员安排。赋分标准（8分）：每项评审内容不存在缺陷得4分，满分8分；每项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技术和商务偏离表.docx</w:t>
            </w:r>
          </w:p>
        </w:tc>
      </w:tr>
      <w:tr>
        <w:tc>
          <w:tcPr>
            <w:tcW w:type="dxa" w:w="831"/>
            <w:vMerge/>
          </w:tcPr>
          <w:p/>
        </w:tc>
        <w:tc>
          <w:tcPr>
            <w:tcW w:type="dxa" w:w="1661"/>
          </w:tcPr>
          <w:p>
            <w:pPr>
              <w:pStyle w:val="null3"/>
            </w:pPr>
            <w:r>
              <w:rPr>
                <w:rFonts w:ascii="仿宋_GB2312" w:hAnsi="仿宋_GB2312" w:cs="仿宋_GB2312" w:eastAsia="仿宋_GB2312"/>
              </w:rPr>
              <w:t>人员培训计划</w:t>
            </w:r>
          </w:p>
        </w:tc>
        <w:tc>
          <w:tcPr>
            <w:tcW w:type="dxa" w:w="2492"/>
          </w:tcPr>
          <w:p>
            <w:pPr>
              <w:pStyle w:val="null3"/>
            </w:pPr>
            <w:r>
              <w:rPr>
                <w:rFonts w:ascii="仿宋_GB2312" w:hAnsi="仿宋_GB2312" w:cs="仿宋_GB2312" w:eastAsia="仿宋_GB2312"/>
              </w:rPr>
              <w:t>评审内容包含：①培训计划制定；②专业技能培训；赋分标准（8分）：每项评审内容不存在缺陷得4分，满分8分；每项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技术和商务偏离表.docx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针对本项目，提供详细具体可行的服务措施承诺，每提出一项得1分，最高得5分。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技术和商务偏离表.docx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1、服务团队： ①实施团队人员配备5人及以上得6分； ②实施团队人员配备3-4人得4分； ③实施团队人员配备1-2人得3分。 需提供佐证材料，包括但不限于身份证、毕业证、岗位证等，本项最高得6分，未提供不得分。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技术和商务偏离表.docx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供应商具有（2023年1月至今）的类似业绩（按合同签订时间计算）每个计1分，最多计3分。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技术和商务偏离表.docx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满足招标文件要求且最后报价最低的供应商的价格为基准价得30分，其他各供应商的最后报价得分按下列公式计算： 投标报价得分=（投标基准价/投标报价）×30%×100。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详见附件：合同条款响应.docx</w:t>
      </w:r>
    </w:p>
    <w:p>
      <w:pPr>
        <w:pStyle w:val="null3"/>
        <w:ind w:firstLine="960"/>
      </w:pPr>
      <w:r>
        <w:rPr>
          <w:rFonts w:ascii="仿宋_GB2312" w:hAnsi="仿宋_GB2312" w:cs="仿宋_GB2312" w:eastAsia="仿宋_GB2312"/>
        </w:rPr>
        <w:t>详见附件：技术和商务偏离表.docx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lowerLetter"/>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