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版本号：JXZB2026-04-1820260423001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主动脉内球囊反搏仪采购项目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JXZB2026-04-18</w:t>
      </w:r>
      <w:r>
        <w:br/>
      </w:r>
      <w:r>
        <w:br/>
      </w:r>
      <w:r>
        <w:br/>
      </w:r>
    </w:p>
    <w:p>
      <w:pPr>
        <w:pStyle w:val="null3"/>
        <w:jc w:val="center"/>
        <w:outlineLvl w:val="2"/>
      </w:pPr>
      <w:r>
        <w:rPr>
          <w:rFonts w:ascii="仿宋_GB2312" w:hAnsi="仿宋_GB2312" w:cs="仿宋_GB2312" w:eastAsia="仿宋_GB2312"/>
          <w:sz w:val="28"/>
          <w:b/>
        </w:rPr>
        <w:t>韩城市人民医院</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韩城市人民医院</w:t>
      </w:r>
      <w:r>
        <w:rPr>
          <w:rFonts w:ascii="仿宋_GB2312" w:hAnsi="仿宋_GB2312" w:cs="仿宋_GB2312" w:eastAsia="仿宋_GB2312"/>
        </w:rPr>
        <w:t>委托，拟对</w:t>
      </w:r>
      <w:r>
        <w:rPr>
          <w:rFonts w:ascii="仿宋_GB2312" w:hAnsi="仿宋_GB2312" w:cs="仿宋_GB2312" w:eastAsia="仿宋_GB2312"/>
        </w:rPr>
        <w:t>主动脉内球囊反搏仪采购项目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JXZB2026-04-18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主动脉内球囊反搏仪采购项目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采购主动脉内球囊反搏仪一台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资质：（1）供应商为经销商的应具有医疗器械经营许可证或经营备案凭证（投标产品须在其经营范围内）；供应商为制造厂家应具有医疗器械生产许可证（投标产品须在其生产范围内），且具有医疗器械经营许可证或经营备案凭证（投标产品须在其经营范围内） （2）投标产品属于医疗器械管理范围的须提供医疗器械注册证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韩城市黄河大街与紫云路十字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0913-5160006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韩城市人民医院</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采购主动脉内球囊反搏仪一台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主动脉内球囊反搏仪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标的名称：主动脉内球囊反搏仪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一、工作模式和操作系统</w:t>
            </w:r>
          </w:p>
          <w:p>
            <w:pPr>
              <w:pStyle w:val="null3"/>
            </w:pPr>
            <w:r>
              <w:rPr>
                <w:rFonts w:ascii="仿宋_GB2312" w:hAnsi="仿宋_GB2312" w:cs="仿宋_GB2312" w:eastAsia="仿宋_GB2312"/>
              </w:rPr>
              <w:t>1.1具备全自动工作模式和手动工作模式。</w:t>
            </w:r>
          </w:p>
          <w:p>
            <w:pPr>
              <w:pStyle w:val="null3"/>
            </w:pPr>
            <w:r>
              <w:rPr>
                <w:rFonts w:ascii="仿宋_GB2312" w:hAnsi="仿宋_GB2312" w:cs="仿宋_GB2312" w:eastAsia="仿宋_GB2312"/>
              </w:rPr>
              <w:t>1.2具备全中文操作界面。</w:t>
            </w:r>
          </w:p>
          <w:p>
            <w:pPr>
              <w:pStyle w:val="null3"/>
            </w:pPr>
            <w:r>
              <w:rPr>
                <w:rFonts w:ascii="仿宋_GB2312" w:hAnsi="仿宋_GB2312" w:cs="仿宋_GB2312" w:eastAsia="仿宋_GB2312"/>
              </w:rPr>
              <w:t>二、显示与监测系统</w:t>
            </w:r>
          </w:p>
          <w:p>
            <w:pPr>
              <w:pStyle w:val="null3"/>
            </w:pPr>
            <w:r>
              <w:rPr>
                <w:rFonts w:ascii="仿宋_GB2312" w:hAnsi="仿宋_GB2312" w:cs="仿宋_GB2312" w:eastAsia="仿宋_GB2312"/>
              </w:rPr>
              <w:t>2.1配置≥12英寸彩色液晶触摸屏。</w:t>
            </w:r>
          </w:p>
          <w:p>
            <w:pPr>
              <w:pStyle w:val="null3"/>
            </w:pPr>
            <w:r>
              <w:rPr>
                <w:rFonts w:ascii="仿宋_GB2312" w:hAnsi="仿宋_GB2312" w:cs="仿宋_GB2312" w:eastAsia="仿宋_GB2312"/>
              </w:rPr>
              <w:t>2.2实时显示 ECG（心电）、AP（动脉压）和球囊压力波形。能明确区分并显示辅助状态下的收缩压、舒张压、平均压、反搏压以及无辅助的收缩压/舒张压。</w:t>
            </w:r>
          </w:p>
          <w:p>
            <w:pPr>
              <w:pStyle w:val="null3"/>
            </w:pPr>
            <w:r>
              <w:rPr>
                <w:rFonts w:ascii="仿宋_GB2312" w:hAnsi="仿宋_GB2312" w:cs="仿宋_GB2312" w:eastAsia="仿宋_GB2312"/>
              </w:rPr>
              <w:t>三、触发与心律失常处理能力</w:t>
            </w:r>
          </w:p>
          <w:p>
            <w:pPr>
              <w:pStyle w:val="null3"/>
            </w:pPr>
            <w:r>
              <w:rPr>
                <w:rFonts w:ascii="仿宋_GB2312" w:hAnsi="仿宋_GB2312" w:cs="仿宋_GB2312" w:eastAsia="仿宋_GB2312"/>
              </w:rPr>
              <w:t>3.1具备≥5种触发模式，以适应不同临床状况。</w:t>
            </w:r>
          </w:p>
          <w:p>
            <w:pPr>
              <w:pStyle w:val="null3"/>
            </w:pPr>
            <w:r>
              <w:rPr>
                <w:rFonts w:ascii="仿宋_GB2312" w:hAnsi="仿宋_GB2312" w:cs="仿宋_GB2312" w:eastAsia="仿宋_GB2312"/>
              </w:rPr>
              <w:t>3.2智能识别：能自动识别并处理各种心律失常（如房颤、早搏、室上速等）。在心率突变或出现异位搏动时，设备应能在一个或两个心动周期内完成同步调整。</w:t>
            </w:r>
          </w:p>
          <w:p>
            <w:pPr>
              <w:pStyle w:val="null3"/>
            </w:pPr>
            <w:r>
              <w:rPr>
                <w:rFonts w:ascii="仿宋_GB2312" w:hAnsi="仿宋_GB2312" w:cs="仿宋_GB2312" w:eastAsia="仿宋_GB2312"/>
              </w:rPr>
              <w:t>3.3最高反搏速率≥180次/分钟，满足快速心律失常患者的治疗需求。</w:t>
            </w:r>
          </w:p>
          <w:p>
            <w:pPr>
              <w:pStyle w:val="null3"/>
            </w:pPr>
            <w:r>
              <w:rPr>
                <w:rFonts w:ascii="仿宋_GB2312" w:hAnsi="仿宋_GB2312" w:cs="仿宋_GB2312" w:eastAsia="仿宋_GB2312"/>
              </w:rPr>
              <w:t>四、驱动与气动系统</w:t>
            </w:r>
          </w:p>
          <w:p>
            <w:pPr>
              <w:pStyle w:val="null3"/>
            </w:pPr>
            <w:r>
              <w:rPr>
                <w:rFonts w:ascii="仿宋_GB2312" w:hAnsi="仿宋_GB2312" w:cs="仿宋_GB2312" w:eastAsia="仿宋_GB2312"/>
              </w:rPr>
              <w:t>4.1驱动方式：要求系统稳定耐用，无需频繁定期更换易损件。</w:t>
            </w:r>
          </w:p>
          <w:p>
            <w:pPr>
              <w:pStyle w:val="null3"/>
            </w:pPr>
            <w:r>
              <w:rPr>
                <w:rFonts w:ascii="仿宋_GB2312" w:hAnsi="仿宋_GB2312" w:cs="仿宋_GB2312" w:eastAsia="仿宋_GB2312"/>
              </w:rPr>
              <w:t>4.2除水系统：具备自动除水除凝系统，可在不中断反搏的情况下持续去除气动系统中的水分，无需使用积水瓶或人工干预。</w:t>
            </w:r>
          </w:p>
          <w:p>
            <w:pPr>
              <w:pStyle w:val="null3"/>
            </w:pPr>
            <w:r>
              <w:rPr>
                <w:rFonts w:ascii="仿宋_GB2312" w:hAnsi="仿宋_GB2312" w:cs="仿宋_GB2312" w:eastAsia="仿宋_GB2312"/>
              </w:rPr>
              <w:t>4.3配置气瓶为可再充式气瓶。</w:t>
            </w:r>
          </w:p>
          <w:p>
            <w:pPr>
              <w:pStyle w:val="null3"/>
            </w:pPr>
            <w:r>
              <w:rPr>
                <w:rFonts w:ascii="仿宋_GB2312" w:hAnsi="仿宋_GB2312" w:cs="仿宋_GB2312" w:eastAsia="仿宋_GB2312"/>
              </w:rPr>
              <w:t>五、导管兼容性与连接技术</w:t>
            </w:r>
          </w:p>
          <w:p>
            <w:pPr>
              <w:pStyle w:val="null3"/>
            </w:pPr>
            <w:r>
              <w:rPr>
                <w:rFonts w:ascii="仿宋_GB2312" w:hAnsi="仿宋_GB2312" w:cs="仿宋_GB2312" w:eastAsia="仿宋_GB2312"/>
                <w:b/>
              </w:rPr>
              <w:t>★5.1支持新型光纤球囊导管</w:t>
            </w:r>
            <w:r>
              <w:rPr>
                <w:rFonts w:ascii="仿宋_GB2312" w:hAnsi="仿宋_GB2312" w:cs="仿宋_GB2312" w:eastAsia="仿宋_GB2312"/>
                <w:b/>
              </w:rPr>
              <w:t>（</w:t>
            </w:r>
            <w:r>
              <w:rPr>
                <w:rFonts w:ascii="仿宋_GB2312" w:hAnsi="仿宋_GB2312" w:cs="仿宋_GB2312" w:eastAsia="仿宋_GB2312"/>
                <w:b/>
              </w:rPr>
              <w:t>实质性要求，提供产品彩页、说明书或技术白皮书等佐证材料）。</w:t>
            </w:r>
          </w:p>
          <w:p>
            <w:pPr>
              <w:pStyle w:val="null3"/>
            </w:pPr>
            <w:r>
              <w:rPr>
                <w:rFonts w:ascii="仿宋_GB2312" w:hAnsi="仿宋_GB2312" w:cs="仿宋_GB2312" w:eastAsia="仿宋_GB2312"/>
              </w:rPr>
              <w:t>5.2当连接导管后，主机能自动识别球囊容积并预设充气量。</w:t>
            </w:r>
          </w:p>
          <w:p>
            <w:pPr>
              <w:pStyle w:val="null3"/>
            </w:pPr>
            <w:r>
              <w:rPr>
                <w:rFonts w:ascii="仿宋_GB2312" w:hAnsi="仿宋_GB2312" w:cs="仿宋_GB2312" w:eastAsia="仿宋_GB2312"/>
              </w:rPr>
              <w:t>六、电源与转运性能</w:t>
            </w:r>
          </w:p>
          <w:p>
            <w:pPr>
              <w:pStyle w:val="null3"/>
            </w:pPr>
            <w:r>
              <w:rPr>
                <w:rFonts w:ascii="仿宋_GB2312" w:hAnsi="仿宋_GB2312" w:cs="仿宋_GB2312" w:eastAsia="仿宋_GB2312"/>
              </w:rPr>
              <w:t>6.1支持宽电压交流电输入（100-240V AC）。内置可充电锂电池，便于院内转运。</w:t>
            </w:r>
          </w:p>
          <w:p>
            <w:pPr>
              <w:pStyle w:val="null3"/>
            </w:pPr>
            <w:r>
              <w:rPr>
                <w:rFonts w:ascii="仿宋_GB2312" w:hAnsi="仿宋_GB2312" w:cs="仿宋_GB2312" w:eastAsia="仿宋_GB2312"/>
              </w:rPr>
              <w:t>6.2配备万向脚轮带刹车，可在不同科室之间移动。</w:t>
            </w:r>
          </w:p>
          <w:p>
            <w:pPr>
              <w:pStyle w:val="null3"/>
            </w:pPr>
            <w:r>
              <w:rPr>
                <w:rFonts w:ascii="仿宋_GB2312" w:hAnsi="仿宋_GB2312" w:cs="仿宋_GB2312" w:eastAsia="仿宋_GB2312"/>
              </w:rPr>
              <w:t>配套耗材（试剂）要求</w:t>
            </w:r>
          </w:p>
          <w:p>
            <w:pPr>
              <w:pStyle w:val="null3"/>
            </w:pPr>
            <w:r>
              <w:rPr>
                <w:rFonts w:ascii="仿宋_GB2312" w:hAnsi="仿宋_GB2312" w:cs="仿宋_GB2312" w:eastAsia="仿宋_GB2312"/>
                <w:sz w:val="21"/>
              </w:rPr>
              <w:t>7.1</w:t>
            </w:r>
            <w:r>
              <w:rPr>
                <w:rFonts w:ascii="仿宋_GB2312" w:hAnsi="仿宋_GB2312" w:cs="仿宋_GB2312" w:eastAsia="仿宋_GB2312"/>
                <w:sz w:val="21"/>
              </w:rPr>
              <w:t>耗材（试剂）与设备相匹配</w:t>
            </w:r>
            <w:r>
              <w:rPr>
                <w:rFonts w:ascii="仿宋_GB2312" w:hAnsi="仿宋_GB2312" w:cs="仿宋_GB2312" w:eastAsia="仿宋_GB2312"/>
                <w:sz w:val="21"/>
              </w:rPr>
              <w:t>并提供</w:t>
            </w:r>
            <w:r>
              <w:rPr>
                <w:rFonts w:ascii="仿宋_GB2312" w:hAnsi="仿宋_GB2312" w:cs="仿宋_GB2312" w:eastAsia="仿宋_GB2312"/>
                <w:sz w:val="21"/>
              </w:rPr>
              <w:t>耗材医疗器械注册证。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韩城市人民医院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运行半年后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所有货物(设备)安装、调试完毕，正常使用 10个日历日后，由采购人进行终验(最终验收)，合格后签发《终验合格单》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项目完成、验收合格后三年。2、所有产品质量符合国家有关规范和相关政策。所有产品及辅材必须是未使用过的新产品，质量优良、渠道正当，配置合理。3、质保期出现的质量问题由供应商负责解决并承担所有费用。质保期后如需更换零部件，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一、落实《陕西省财政厅关于在政府采购活动中实施本国产品标准及相关政策的通知》: 1、本国产品应当符合产品在中国境内生产,且在中国境内生产的组件成本占比达到规定比例,以及对特定产品的关键组件、关键工序在中国境内生产、完成。进口产品属于非本国产品。 但对一些非进口产品，如果不满足《国务院办公厅关于在政府采购中实施本国产品标准及相关政策的通知》（国办发〔2025〕34 号规定的“在中国境内生产”等条件，这些产品也属于非本国产品。 2、供应商对其提供的产品出具《关于符合本国产品标准的声明函》（以下简称《声明函》）。出具符合要求的《声明函》或有关证明文件的，该产品视为本国产品。供应商提供虚假《声明函》、虚假证明文件谋取中标、成交的，依照《政府采购法》等法律法规规定追究相应责任。 3、供应商对其提供的产品出具《声明函》，是其产品享受政府采购对本国产品支持政策的先决条件，但不作为对供应商的资格条件。不出具《声明函》的，不应享受政府采购对本国产品的支持政策。 4、对于仅有本国产品参与竞争的政府采购项目，本国产品不享受价格扣除评审优惠。 5、对于非专门面向中小企业的采购项目，既有本国产品也有非本国产品参与竞争，且提供本国产品的供应商同时为小微企业的，按照《国务院办公厅关于在政府采购中实施本国 产品标准及相关政策的通知》（国办发〔2025〕34 号和《政府采购促进中小企业发展管理办法》规定，对该供应商的产品同时给予支持本国产品和小微企业产品的价格评审优惠。相关价格评审扣除优惠，均应该在供应商原始报价基础上计算，用扣除后的价格参与评审。 6、当采购项目或采购包的采购标的仅包含单一产品时，政府采购活动中既有本国产品又有非本国产品参与竞争的，依法对本国产品给予价格评审优惠，对本国产品的报价给予 20%的价格扣除，用扣除后的价格参与评审。当采购项目或者采购包的采购标的中含有多种产品，供应商为该采购项目或者采购包提供的符合本国产品标准的产品成本之和占该供应商提供的全部产品成本之和的比例达到 80%以上时，且供应商在投标（响应）文件中对此作出承诺的，则依法对该供应商提供的全部产品给予价格评审优惠，即对该供应商提供的全部产品的总报价给予 20%的价格扣除，用扣除后的价格参与评审。全部产品是指货物或服务采购项目或采购包中包含的全部货物、服务产品。二、其他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1）供应商为经销商的应具有医疗器械经营许可证或经营备案凭证（投标产品须在其经营范围内）；供应商为制造厂家应具有医疗器械生产许可证（投标产品须在其生产范围内），且具有医疗器械经营许可证或经营备案凭证（投标产品须在其经营范围内） （2）投标产品属于医疗器械管理范围的须提供医疗器械注册证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按招标文件要求签字、盖章</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商务应答表 供应商声明.docx 产品技术参数表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投标文件内容不存在漏项或数量与要求不符合招标文件规定情形，满足招标文件的商务、技术等实质性要求</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商务应答表 供应商声明.docx 产品技术参数表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商务应答表 供应商声明.docx 产品技术参数表 供应商应提交的相关资格证明材料.docx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技术参数清楚、明确，配置齐全，提供投标产品技术参数或响应功能证明材料（包括但不限于：厂家产品彩页、检测报告、官网截图等）完全响应或优于招标文件技术要求的得21分（技术参数5.1条为实质性要求不满足按无效文件处理）未提供证明材料或材料无法佐证技术要求或参数负偏离的，每有一条扣1.5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包含但不限于①售后服务内容；②各类故障响应时间及解决措施；③售后服务承诺。以上内容专门针对本项目且阐述明晰、全面、合理、无缺陷能有效保障本项目实施得6分，评审内容缺一项扣2分,每存在1处缺陷扣1分，扣完为止。“缺陷”指内容明显错误、内容表述前后矛盾、不完整、表达简单笼统、缺少关键点、不适用本项目特性、套用其他项目内容、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若所投产品为进口产品的，提供所投进口产品的厂家授权书或总代理商授权书（厂家直投不需提供授权书）。注：如提供总代理商授权书的须同时提供该总代理商具有有效授权权限的相关证明文件，证明文件需能显示产品制造厂家对所投产品授权链条的完整性），提供的材料完整清晰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内容包含但不限于①实施计划②供货、运输、安装及调试③验收措施④备品备件及物力调配。以上内容专门针对本项目且阐述明晰、全面、合理、无缺陷得20分，评审内容缺一项扣5分,每存在1处缺陷扣1分，扣完为止。“缺陷”指内容明显错误、内容表述前后矛盾、不完整、表达简单笼统、缺少关键点、不适用本项目特性、套用其他项目内容、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项目质量保障</w:t>
            </w:r>
          </w:p>
        </w:tc>
        <w:tc>
          <w:tcPr>
            <w:tcW w:type="dxa" w:w="2492"/>
          </w:tcPr>
          <w:p>
            <w:pPr>
              <w:pStyle w:val="null3"/>
            </w:pPr>
            <w:r>
              <w:rPr>
                <w:rFonts w:ascii="仿宋_GB2312" w:hAnsi="仿宋_GB2312" w:cs="仿宋_GB2312" w:eastAsia="仿宋_GB2312"/>
              </w:rPr>
              <w:t>提出针对本项目的项目质量保障方案，内容包括但不限于：①产品的先进性和可靠性②产品质量保障及技术保障。③拟投入本项目的技术人员配备（人员配备；职责分工；相关人员资质证书等）以上内容专门针对本项目且阐述明晰、全面、合理、无缺陷得9分，评审内容缺一项扣3分,每存在1处缺陷扣1分，扣完为止。“缺陷”指内容明显错误、内容表述前后矛盾、不完整、表达简单笼统、缺少关键点、不适用本项目特性、套用其他项目内容、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但不限于①制定培训课程计划表，列出每种培训的地点和时间②培训内容应包括所提供产品的原理和技术性能、操作维护方法、安装调试、排除故障等。以上内容专门针对本项目且阐述明晰、全面、合理、无缺陷能有效保障本项目实施得6分，评审内容缺一项扣3分,每存在1处缺陷扣1分，扣完为止。“缺陷”指内容明显错误、内容表述前后矛盾、不完整、表达简单笼统、缺少关键点、不适用本项目特性、套用其他项目内容、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项目业绩，以合同复印件为准（合同复印件至少含封皮、首页、能反映采购内容页、双方签字盖章页等）每提供一份完整的业绩证明材料，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