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版本号：ZCSP-华阴市-2025-0009220251013001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华阴市岳庙高级中学更换草皮工程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ZCSP-华阴市-2025-00092</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华阴市岳庙高级中学更换草皮工程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ZCSP-华阴市-2025-00092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华阴市岳庙高级中学更换草皮工程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主要建设内容为铲除原草皮、维修地面，更换草皮约7300平方米。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采购包1（华阴市岳庙高级中学更换草皮工程）：属于专门面向中小企业采购。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p>
      <w:pPr>
        <w:pStyle w:val="null3"/>
      </w:pPr>
      <w:r>
        <w:rPr>
          <w:rFonts w:ascii="仿宋_GB2312" w:hAnsi="仿宋_GB2312" w:cs="仿宋_GB2312" w:eastAsia="仿宋_GB2312"/>
        </w:rPr>
        <w:t>2、资质证书及安全生产许可证：供应商须具备建筑工程施工总承包三级(含三级)及以上资质，并具有有效的安全生产许可证；</w:t>
      </w:r>
    </w:p>
    <w:p>
      <w:pPr>
        <w:pStyle w:val="null3"/>
      </w:pPr>
      <w:r>
        <w:rPr>
          <w:rFonts w:ascii="仿宋_GB2312" w:hAnsi="仿宋_GB2312" w:cs="仿宋_GB2312" w:eastAsia="仿宋_GB2312"/>
        </w:rPr>
        <w:t>3、拟派项目负责人资质和专业要求。：拟派项目经理须具有建筑工程二级及以上注册建造师资格并具有有效的安全生产考核合格证，且无在建工程。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4、信用信息：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采购包1：1,695,121.15元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的规定按国家收费标准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招标文件规定的要求和投标文件及合同承诺的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1,695,121.15</w:t>
      </w:r>
    </w:p>
    <w:p>
      <w:pPr>
        <w:pStyle w:val="null3"/>
      </w:pPr>
      <w:r>
        <w:rPr>
          <w:rFonts w:ascii="仿宋_GB2312" w:hAnsi="仿宋_GB2312" w:cs="仿宋_GB2312" w:eastAsia="仿宋_GB2312"/>
        </w:rPr>
        <w:t>采购包最高限价（元）: 1,695,121.15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华阴市岳庙高级中学更换草皮工程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1,695,121.15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标的名称：华阴市岳庙高级中学更换草皮工程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执行所有现行的国家、行业及地方标准、规范、规程中的强制性条款。验收工程应按照施工合同和设计文件的要求完成建设，满足使用价值；符合国家和行业规定的建筑工程质量标准。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1.工期：自合同签订之日起45日历天。 2.付款方式：合同签订后支付30%预付款，剩余款项按每月完成进度付款，预付款两个月内扣回，审计结算后付至审计价的97%，预留3%作为质保金，质保期一年，无任何质量问题一次性付清。 3.质量标准：合格，达到国家现行技术标准。 4.质保期：自竣工验收合格之日起一年。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磋商保证金注意事项： （1）以转账、支票、汇票等方式递交磋商保证金的，须从供应商户名支付，如从个人户名或非供应商户名支付，将被拒绝，视为自动放弃投标权利；磋商保证金以采购代理机构到账凭证为准，供应商需更换交纳凭证，由采购代理机构统一提供保证金收据；供应商应在磋商文件中附收据复印件。 （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 （3）磋商保证金的提交金额、时间不满足磋商文件要求的，投标无效； （4）未按指定账户提交的，我公司将退回，供应商须在文件递交截止时间前按照指定账户再次提交。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具有独立承担民事责任能力的法人、事业法人、其他组织或自然人。企业法人应提供合法有效的标识有统一社会信用代码营业执照；事业单位法人证书；其他组织应提供合法登记证明文件；自然人应提供身份证； （2）有依法缴纳税收的记录，提供供应商2024年10月以来任意一个月的依法缴纳税收凭据或完税证明（依法免税的供应商应提供相关文件证明）； （3）有依法缴纳社会保障资金的记录，提供供应商2024年10月以来任意一个月的社会保障资金缴存单据或社保机构开具的社会保险参保缴费情况证明（依法不需要缴纳社会保障资金的供应商应提供相关文件证明）； （4）提供具备履行合同所必需的设备和专业技术能力的承诺； （5）参加政府采购活动前3年内在经营活动中没有重大违法记录的书面声明。 注：以上（2）-（3）项，提供“陕西省政府采购供应商信用承诺书”的，可不再提供其他证明文件。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财务报告（至少包括资产负债表和利润表；成立时间至提交磋商文件截止时间不足一年的可提供成立后任意时段的资产负债表）或开标前六个月内其基本账户银行出具的资信证明或财政部门认可的政府采购专业担保机构出具的担保函； 注：提供“陕西省政府采购供应商信用承诺书”的，可不再提供其他证明文件。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工程的施工单位为符合政策要求的中小企业。 本项目专门面向中小企业采购，供应商应为中型、小型或微型企业（残疾人福利性企业及监狱企业视同为小型、微型企业），提供中小企业声明函。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开标一览表.docx 项目管理机构组成表 供应商应提交的相关资格证明材料 供应商资格证明文件.docx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开标一览表.docx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开标一览表.docx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开标一览表.docx 技术方案.docx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项目内容及技术、商务要求应答表.docx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合同签订之日起45日历天</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自竣工验收合格之日起一年</w:t>
            </w:r>
          </w:p>
        </w:tc>
        <w:tc>
          <w:tcPr>
            <w:tcW w:type="dxa" w:w="1661"/>
          </w:tcPr>
          <w:p>
            <w:pPr>
              <w:pStyle w:val="null3"/>
            </w:pPr>
            <w:r>
              <w:rPr>
                <w:rFonts w:ascii="仿宋_GB2312" w:hAnsi="仿宋_GB2312" w:cs="仿宋_GB2312" w:eastAsia="仿宋_GB2312"/>
              </w:rPr>
              <w:t>项目内容及技术、商务要求应答表.docx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开标一览表.docx 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方案内容齐全且对施工具有较高的指导性，得8分；方案内容每缺1项扣2分；方案每存在1处缺陷（非针对本项目、内容不完整、指导性不强）扣1分；扣完为止。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 计划及保 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 管理体系 及保证措 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 机构的组 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机构设置、岗位安排合理、团队人员专业性强，得7分；方案内容每缺1项扣1.5分；方案每存在1处缺陷（非机构设置不合理、岗位配置不健全、人员专业程度差）扣1分；扣完为止。未提供不得分。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安全生产、文明 施工管理 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应包括①劳动力配置计划②机具配置计划③资源投入保障措施等内容。 计划合理、保障措施健全、施工进度需求，具有较强的实施性，得7分；方案内容每缺1项扣1.5分；方案每存在1处缺陷（非针对本项目、计划合理性差、保障措施不健全）扣1分；扣完为止。未提供不得分。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7分；方案内容每缺1项扣1.5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 方案内容齐全、方案针对性强、对本项目施工具有较高的指导性，得5分；方案内容每缺1项扣1.5分；方案每存在1处缺陷（非针对本项目、建议内容可靠性差）扣1分；扣完为止。未提供不得分。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供应商具有2020年10月1日至今（合同签订时间为准）的类似项目业绩，响应文件中提供合同复印件加盖公章,每提供一个计2分，满分8分。注：以合同复印件为准。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(2)满足竞争性磋商文件要求且磋商价格最低的最终磋商报价为磋商基准价，得满分30分； (3)磋商报价得分=(磋商基准价／最终磋商报价)×30%×100。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详见附件：项目内容及技术、商务要求应答表.docx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