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版本号：SXZYXM2025-50.1B220251110001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华阴市植保植检站2025年中央财政农业防灾减灾资金项目(三次)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SXZYXM2025-50.1B2</w:t>
      </w:r>
      <w:r>
        <w:br/>
      </w:r>
      <w:r>
        <w:br/>
      </w:r>
      <w:r>
        <w:br/>
      </w:r>
    </w:p>
    <w:p>
      <w:pPr>
        <w:pStyle w:val="null3"/>
        <w:jc w:val="center"/>
        <w:outlineLvl w:val="2"/>
      </w:pPr>
      <w:r>
        <w:rPr>
          <w:rFonts w:ascii="仿宋_GB2312" w:hAnsi="仿宋_GB2312" w:cs="仿宋_GB2312" w:eastAsia="仿宋_GB2312"/>
          <w:sz w:val="28"/>
          <w:b/>
        </w:rPr>
        <w:t>华阴市农业农村局</w:t>
      </w:r>
    </w:p>
    <w:p>
      <w:pPr>
        <w:pStyle w:val="null3"/>
        <w:jc w:val="center"/>
        <w:outlineLvl w:val="2"/>
      </w:pPr>
      <w:r>
        <w:rPr>
          <w:rFonts w:ascii="仿宋_GB2312" w:hAnsi="仿宋_GB2312" w:cs="仿宋_GB2312" w:eastAsia="仿宋_GB2312"/>
          <w:sz w:val="28"/>
          <w:b/>
        </w:rPr>
        <w:t>陕西正园工程项目管理有限公司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陕西正园工程项目管理有限公司</w:t>
      </w:r>
      <w:r>
        <w:rPr>
          <w:rFonts w:ascii="仿宋_GB2312" w:hAnsi="仿宋_GB2312" w:cs="仿宋_GB2312" w:eastAsia="仿宋_GB2312"/>
        </w:rPr>
        <w:t>（以下简称“代理机构”）受</w:t>
      </w:r>
      <w:r>
        <w:rPr>
          <w:rFonts w:ascii="仿宋_GB2312" w:hAnsi="仿宋_GB2312" w:cs="仿宋_GB2312" w:eastAsia="仿宋_GB2312"/>
        </w:rPr>
        <w:t>华阴市农业农村局</w:t>
      </w:r>
      <w:r>
        <w:rPr>
          <w:rFonts w:ascii="仿宋_GB2312" w:hAnsi="仿宋_GB2312" w:cs="仿宋_GB2312" w:eastAsia="仿宋_GB2312"/>
        </w:rPr>
        <w:t>委托，拟对</w:t>
      </w:r>
      <w:r>
        <w:rPr>
          <w:rFonts w:ascii="仿宋_GB2312" w:hAnsi="仿宋_GB2312" w:cs="仿宋_GB2312" w:eastAsia="仿宋_GB2312"/>
        </w:rPr>
        <w:t>华阴市植保植检站2025年中央财政农业防灾减灾资金项目(三次)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SXZYXM2025-50.1B2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华阴市植保植检站2025年中央财政农业防灾减灾资金项目(三次)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为做好我市农作物病虫害防控，充分发挥财政资金效能，有效控制切实降低危害，保障粮食安全生产，我站计划采购项目如下: 1、采购化学药剂6.5万亩用量，其中：10%苯醚甲环唑，亩用量20克，采购1.3吨；9%甲维·茚虫威，亩用量20毫升，采购 1.3吨；氨基酸水溶肥，亩用量50克，采购3.25吨。 2、购买蝗虫生物防治药剂1万亩(使用蝗虫微孢子虫开展生物防治，亩用量70毫升，采购0.7吨)和植保无人机防治服务1万亩。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采购包1（华阴市植保植检站2025年中央财政农业防灾减灾资金项目）：属于专门面向中小企业采购。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2、供应商授权合法的人员参加磋商全过程：法定代表人授权委托书（附法定代表人身份证复印件）及被授权委托人身份证（法定代表人参加磋商只须提供法定代表人身份证）；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p>
      <w:pPr>
        <w:pStyle w:val="null3"/>
      </w:pPr>
      <w:r>
        <w:rPr>
          <w:rFonts w:ascii="仿宋_GB2312" w:hAnsi="仿宋_GB2312" w:cs="仿宋_GB2312" w:eastAsia="仿宋_GB2312"/>
        </w:rPr>
        <w:t>4、税收缴纳证明：提供递交截止时间前6个月内任意一个月的缴费凭据，依法免税的单位应提供相关证明材料；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6、资质条件：供应商为生产厂家须提供合法有效的农药登记证、农药生产许可证及农药标准证；供应商为经销商的须提供农药经营许可证及生产厂家的农药登记证、农药生产许可证、农药标准证；</w:t>
      </w:r>
    </w:p>
    <w:p>
      <w:pPr>
        <w:pStyle w:val="null3"/>
      </w:pPr>
      <w:r>
        <w:rPr>
          <w:rFonts w:ascii="仿宋_GB2312" w:hAnsi="仿宋_GB2312" w:cs="仿宋_GB2312" w:eastAsia="仿宋_GB2312"/>
        </w:rPr>
        <w:t>7、具有履行合同所必需的设备和专业技术能力：提供具有履行合同所必需的设备和专业技术能力的承诺；</w:t>
      </w:r>
    </w:p>
    <w:p>
      <w:pPr>
        <w:pStyle w:val="null3"/>
      </w:pPr>
      <w:r>
        <w:rPr>
          <w:rFonts w:ascii="仿宋_GB2312" w:hAnsi="仿宋_GB2312" w:cs="仿宋_GB2312" w:eastAsia="仿宋_GB2312"/>
        </w:rPr>
        <w:t>8、参加政府采购活动前三年内，在经营活动中没有重大违法记录：提供参加政府采购活动前3年内在经营活动中没有重大违法记录的书面声明；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9、信用记录：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p>
      <w:pPr>
        <w:pStyle w:val="null3"/>
      </w:pPr>
      <w:r>
        <w:rPr>
          <w:rFonts w:ascii="仿宋_GB2312" w:hAnsi="仿宋_GB2312" w:cs="仿宋_GB2312" w:eastAsia="仿宋_GB2312"/>
        </w:rPr>
        <w:t>10、投标承诺：单位负责人为同一人或者存在直接控股、管理关系的不同供应商，不得参加同一合同项下的政府采购活动（提供控股管理关系清单）；</w:t>
      </w:r>
    </w:p>
    <w:p>
      <w:pPr>
        <w:pStyle w:val="null3"/>
      </w:pPr>
      <w:r>
        <w:rPr>
          <w:rFonts w:ascii="仿宋_GB2312" w:hAnsi="仿宋_GB2312" w:cs="仿宋_GB2312" w:eastAsia="仿宋_GB2312"/>
        </w:rPr>
        <w:t>11、非联合体磋商：提供非联合体磋商声明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华阴市环城北路46号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华阴市植保植检站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0913-4683780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陕西正园工程项目管理有限公司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西安市曲江新区雁翔路旺座曲江L座15层1506室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钮依宁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029-89557177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采购包1：479,325.00元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采购项目代理服务费参照国家计委颁发的《招标代理服务收费管理暂行办法》(计价格[2002]1980号)和国家发展改革委员会办公厅颁发的《关于招标代理服务收费有关问题的通知》(发改办价格[2003]857号)及发改价格【2011】534的有关规定执行，由中标人向采购代理机构一次付清招标代理服务费。 代理费用由投标人自行考虑包含在投标报价中，费用可不单列。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华阴市农业农村局</w:t>
      </w:r>
      <w:r>
        <w:rPr>
          <w:rFonts w:ascii="仿宋_GB2312" w:hAnsi="仿宋_GB2312" w:cs="仿宋_GB2312" w:eastAsia="仿宋_GB2312"/>
        </w:rPr>
        <w:t>和</w:t>
      </w:r>
      <w:r>
        <w:rPr>
          <w:rFonts w:ascii="仿宋_GB2312" w:hAnsi="仿宋_GB2312" w:cs="仿宋_GB2312" w:eastAsia="仿宋_GB2312"/>
        </w:rPr>
        <w:t>陕西正园工程项目管理有限公司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陕西正园工程项目管理有限公司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陕西正园工程项目管理有限公司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防治效果达到85%以上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陕西正园工程项目管理有限公司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联系人：钮依宁</w:t>
      </w:r>
    </w:p>
    <w:p>
      <w:pPr>
        <w:pStyle w:val="null3"/>
      </w:pPr>
      <w:r>
        <w:rPr>
          <w:rFonts w:ascii="仿宋_GB2312" w:hAnsi="仿宋_GB2312" w:cs="仿宋_GB2312" w:eastAsia="仿宋_GB2312"/>
        </w:rPr>
        <w:t>联系电话：029-89557177</w:t>
      </w:r>
    </w:p>
    <w:p>
      <w:pPr>
        <w:pStyle w:val="null3"/>
      </w:pPr>
      <w:r>
        <w:rPr>
          <w:rFonts w:ascii="仿宋_GB2312" w:hAnsi="仿宋_GB2312" w:cs="仿宋_GB2312" w:eastAsia="仿宋_GB2312"/>
        </w:rPr>
        <w:t>地址：西安市曲江新区雁翔路旺座曲江L座15层1506室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为做好我市农作物病虫害防控，充分发挥财政资金效能，有效控制切实降低危害，保障粮食安全生产，现采购采购化学药剂及无人机防治服务。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479,325.00</w:t>
      </w:r>
    </w:p>
    <w:p>
      <w:pPr>
        <w:pStyle w:val="null3"/>
      </w:pPr>
      <w:r>
        <w:rPr>
          <w:rFonts w:ascii="仿宋_GB2312" w:hAnsi="仿宋_GB2312" w:cs="仿宋_GB2312" w:eastAsia="仿宋_GB2312"/>
        </w:rPr>
        <w:t>采购包最高限价（元）: 479,325.00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采购化学药剂及无人机防治服务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479,325.00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标的名称：采购化学药剂及无人机防治服务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shd w:fill="FFFFFF" w:val="clear"/>
              </w:rPr>
              <w:t>一、技术参数</w:t>
            </w:r>
          </w:p>
          <w:p>
            <w:pPr>
              <w:pStyle w:val="null3"/>
              <w:ind w:firstLine="640"/>
              <w:jc w:val="both"/>
            </w:pPr>
            <w:r>
              <w:rPr>
                <w:rFonts w:ascii="仿宋_GB2312" w:hAnsi="仿宋_GB2312" w:cs="仿宋_GB2312" w:eastAsia="仿宋_GB2312"/>
                <w:sz w:val="21"/>
              </w:rPr>
              <w:t>1、采购化学药剂6.5万亩用量，其中：10%苯醚甲环唑，亩用量20克，采购1.3吨；9%甲维·茚虫威，亩用量20毫升，采购1.3吨；氨基酸水溶肥，亩用量50克，采购3.25吨。</w:t>
            </w:r>
          </w:p>
          <w:p>
            <w:pPr>
              <w:pStyle w:val="null3"/>
              <w:ind w:firstLine="640"/>
              <w:jc w:val="both"/>
            </w:pPr>
            <w:r>
              <w:rPr>
                <w:rFonts w:ascii="仿宋_GB2312" w:hAnsi="仿宋_GB2312" w:cs="仿宋_GB2312" w:eastAsia="仿宋_GB2312"/>
                <w:sz w:val="21"/>
              </w:rPr>
              <w:t>2、购买蝗虫生物防治药剂1万亩（使用蝗虫微孢子虫开展生物防治，亩用量70毫升，采购0.7吨）。</w:t>
            </w:r>
          </w:p>
          <w:p>
            <w:pPr>
              <w:pStyle w:val="null3"/>
              <w:ind w:firstLine="640"/>
              <w:jc w:val="both"/>
            </w:pPr>
            <w:r>
              <w:rPr>
                <w:rFonts w:ascii="仿宋_GB2312" w:hAnsi="仿宋_GB2312" w:cs="仿宋_GB2312" w:eastAsia="仿宋_GB2312"/>
                <w:sz w:val="21"/>
              </w:rPr>
              <w:t>3、植保无人机防治服务1万亩，防治效果：最终防治效果保证85%以上。</w:t>
            </w:r>
          </w:p>
          <w:p>
            <w:pPr>
              <w:pStyle w:val="null3"/>
              <w:jc w:val="both"/>
            </w:pPr>
            <w:r>
              <w:rPr>
                <w:rFonts w:ascii="仿宋_GB2312" w:hAnsi="仿宋_GB2312" w:cs="仿宋_GB2312" w:eastAsia="仿宋_GB2312"/>
                <w:sz w:val="21"/>
                <w:b/>
                <w:shd w:fill="FFFFFF" w:val="clear"/>
              </w:rPr>
              <w:t>二、采购金额及最高限价</w:t>
            </w:r>
          </w:p>
          <w:p>
            <w:pPr>
              <w:pStyle w:val="null3"/>
              <w:jc w:val="both"/>
            </w:pPr>
            <w:r>
              <w:rPr>
                <w:rFonts w:ascii="仿宋_GB2312" w:hAnsi="仿宋_GB2312" w:cs="仿宋_GB2312" w:eastAsia="仿宋_GB2312"/>
                <w:sz w:val="21"/>
                <w:shd w:fill="FFFFFF" w:val="clear"/>
              </w:rPr>
              <w:t>479325元。</w:t>
            </w:r>
          </w:p>
          <w:p>
            <w:pPr>
              <w:pStyle w:val="null3"/>
              <w:jc w:val="both"/>
            </w:pPr>
            <w:r>
              <w:rPr>
                <w:rFonts w:ascii="仿宋_GB2312" w:hAnsi="仿宋_GB2312" w:cs="仿宋_GB2312" w:eastAsia="仿宋_GB2312"/>
                <w:sz w:val="21"/>
                <w:b/>
                <w:shd w:fill="FFFFFF" w:val="clear"/>
              </w:rPr>
              <w:t>三、服务期</w:t>
            </w:r>
          </w:p>
          <w:p>
            <w:pPr>
              <w:pStyle w:val="null3"/>
              <w:jc w:val="both"/>
            </w:pPr>
            <w:r>
              <w:rPr>
                <w:rFonts w:ascii="仿宋_GB2312" w:hAnsi="仿宋_GB2312" w:cs="仿宋_GB2312" w:eastAsia="仿宋_GB2312"/>
                <w:sz w:val="21"/>
                <w:shd w:fill="FFFFFF" w:val="clear"/>
              </w:rPr>
              <w:t>合同签订后10个工作日完成服务。</w:t>
            </w:r>
          </w:p>
          <w:p>
            <w:pPr>
              <w:pStyle w:val="null3"/>
              <w:jc w:val="both"/>
            </w:pPr>
            <w:r>
              <w:rPr>
                <w:rFonts w:ascii="仿宋_GB2312" w:hAnsi="仿宋_GB2312" w:cs="仿宋_GB2312" w:eastAsia="仿宋_GB2312"/>
                <w:sz w:val="21"/>
                <w:b/>
                <w:shd w:fill="FFFFFF" w:val="clear"/>
              </w:rPr>
              <w:t>四、付款计划</w:t>
            </w:r>
          </w:p>
          <w:p>
            <w:pPr>
              <w:pStyle w:val="null3"/>
              <w:jc w:val="both"/>
            </w:pPr>
            <w:r>
              <w:rPr>
                <w:rFonts w:ascii="仿宋_GB2312" w:hAnsi="仿宋_GB2312" w:cs="仿宋_GB2312" w:eastAsia="仿宋_GB2312"/>
                <w:sz w:val="21"/>
                <w:shd w:fill="FFFFFF" w:val="clear"/>
              </w:rPr>
              <w:t>项目完成验收达到支付条件后一次性</w:t>
            </w:r>
            <w:r>
              <w:rPr>
                <w:rFonts w:ascii="仿宋_GB2312" w:hAnsi="仿宋_GB2312" w:cs="仿宋_GB2312" w:eastAsia="仿宋_GB2312"/>
                <w:sz w:val="21"/>
                <w:shd w:fill="FFFFFF" w:val="clear"/>
              </w:rPr>
              <w:t>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自合同签订之日起10个工作日完成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防治效果达到85%以上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所报价格应考虑到可能发生的所有与完成本项目有关的一切费用。磋商报价是供应商为完成本次磋商所要求的货物、服务及工程且验收合格的所有费用，包括但不限于投标人完成本项目所需的人工费、材料费、设备费、管理费、验收费、利润和税金等所产生的全部费用。任何有选择的报价将不予接受，按无效磋商处理。 （二）由供应商自行承担因现场踏勘而产生的费用及安全。（三）本项目所属行业为：农林牧渔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20000万元以下的为中小微型企业。其中，营业收⼊500万元及以上的为中型企业，营业收⼊50万元及以上的为小型企业，营业收⼊50万元以下的为微型企业。（四）、成交供应商在领取成交通知书前，需向采购代理机构提交加盖公章的纸质版响应文件二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包括但不限于审计报告、资产负债表、利润表、现金流量表、所有者权益变动表及财务报表附注等内容）成立时间至提交响应文件截止时间不足一年的可提供成立后任意时段的资产负债表）或开标前六个月内其基本账户银行出具的资信证明，以上两种方式供应商任选其一进行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供应商为生产厂家须提供合法有效的农药登记证、农药生产许可证及农药标准证；供应商为经销商的须提供农药经营许可证及生产厂家的农药登记证、农药生产许可证、农药标准证；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记录的“失信被执行人”及“重大税收违法案件当事人”名单；不得为“中国政府采购网”记录的“政府采购严重违法失信行为记录名单”，提供网页截图，代理机构将对信用记录现场进行查询。（以评审现场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单位负责人为同一人或者存在直接控股、管理关系的不同供应商，不得参加同一合同项下的政府采购活动（提供控股管理关系清单）；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响应文件无投标有效期或有效期达不到磋商文件的要求</w:t>
            </w:r>
          </w:p>
        </w:tc>
        <w:tc>
          <w:tcPr>
            <w:tcW w:type="dxa" w:w="1661"/>
          </w:tcPr>
          <w:p>
            <w:pPr>
              <w:pStyle w:val="null3"/>
            </w:pPr>
            <w:r>
              <w:rPr>
                <w:rFonts w:ascii="仿宋_GB2312" w:hAnsi="仿宋_GB2312" w:cs="仿宋_GB2312" w:eastAsia="仿宋_GB2312"/>
              </w:rPr>
              <w:t>响应文件封面 分项报价表 供应商类似项目业绩一览表.docx 中小企业声明函 残疾人福利性单位声明函 服务内容及服务要求应答表 报价表 响应函 资格证明文件.docx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最高限价</w:t>
            </w:r>
          </w:p>
        </w:tc>
        <w:tc>
          <w:tcPr>
            <w:tcW w:type="dxa" w:w="1661"/>
          </w:tcPr>
          <w:p>
            <w:pPr>
              <w:pStyle w:val="null3"/>
            </w:pPr>
            <w:r>
              <w:rPr>
                <w:rFonts w:ascii="仿宋_GB2312" w:hAnsi="仿宋_GB2312" w:cs="仿宋_GB2312" w:eastAsia="仿宋_GB2312"/>
              </w:rPr>
              <w:t>分项报价表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对第三章服务要求逐条响应</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响应全部实质性要求，未附加采购人难以接受的条件</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（1）实施方案整体思路及主要方案； （2）作业面的划分； （3）病虫害防治措施； （4）进度计划安排及保障措施； （5）整体管理措施。 二、评审标准：1.针对性：符合本项目实际情况，专业性强、内容科学合理；2.完整性：内容完整详细，条理清晰；3.可实施性：安排及措施可实施性强。 三、赋分标准（15分）： 按照供应商编制内容每项完全满足一个评审标准得1分，满分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其他服务措施</w:t>
            </w:r>
          </w:p>
        </w:tc>
        <w:tc>
          <w:tcPr>
            <w:tcW w:type="dxa" w:w="2492"/>
          </w:tcPr>
          <w:p>
            <w:pPr>
              <w:pStyle w:val="null3"/>
            </w:pPr>
            <w:r>
              <w:rPr>
                <w:rFonts w:ascii="仿宋_GB2312" w:hAnsi="仿宋_GB2312" w:cs="仿宋_GB2312" w:eastAsia="仿宋_GB2312"/>
              </w:rPr>
              <w:t>一、评审内容： （1）根据本项目的实施内容，针对重点部位、重点区域、一般区域制定合理、完善、操作性强的作业计划； （2）对紧急或突发业务的应急保障措施； （3）综合协助措施。 二、评审标准： 1.针对性：符合本项目实际情况，专业性强、内容科学合理；2.完整性：内容完整详细，条理清晰；3.可实施性：安排及措施可实施性强。 三、赋分标准（9分）：按照供应商编制内容每项完全满足一个评审标准得1分，满分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（1）服务中严格按照国家及行业标准进行服务； （2）配合采购人进行汇报、验收、必要的外勤配合等工作； （3）及时响应本服务中采购人所需的远程指导及协助需求等。 二、评审标准： 1.针对性：符合本项目实际情况，专业性强、内容科学合理；2.完整性：内容完整详细，条理清晰；3.可实施性：安排及措施可实施性强。 三、赋分标准（9分）：按照供应商编制内容每项完全满足一个评审标准得1分，满分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针对本项目服务内容提出的合理化建议。 二、评审标准： （1）针对性：能够紧扣项目实际情况，专业性强、内容科学合理； （2）可实施性：切合本项目实际情况，步骤明确、可操作性强。 三、赋分标准（4分）：按照供应商编制内容每项完全满足一个评审标准得1分，满分2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（1）服务质量保障体系； （2）药剂符合国家标准，证明材料充足；（3）防治效果质量保障；（4）技术组织保障措施；（5）后期补防措施； 二、评审标准：1.针对性：符合本项目实际情况，专业性强、内容科学合理；2.完整性：内容完整详细，条理清晰；3.可实施性：安排及措施可实施性强。 三、赋分标准（15分）：按照供应商编制内容每项完全满足一个评审标准得1分，满分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一、评审内容： 依据本项目服务内容及相关要求，进行人员配备。 二、评审标准： （1）满足服务所需基本要求； （2）分工明确、安排合理、技能经验丰富等。 三、赋分标准（10分）：（1）满足本次服务基本人员要求得5分；（2）在此基础上每增加1名人员得2分，最多得5分；未提供或完全背离评审标准得0分。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供应商须拥有4（含本数）架植保无人机并提供器械购买发票或租赁合同（协议）或其他可证明本单位具有满足项目要求器械的证明材料。满足要求计 8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供应商具有近三年（2022年9月至今）的类似项目业绩（以合同签订时间为准）每个计2分，最多计10分。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1.磋商报价得分=（磋商基准价/最后磋商报价）×20分； 2.满足磋商文件要求且最后报价最低的供应商的价格为磋商基准价。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详见附件：磋商方案.docx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