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005A2">
      <w:pPr>
        <w:spacing w:line="360" w:lineRule="auto"/>
        <w:jc w:val="both"/>
        <w:rPr>
          <w:rFonts w:hint="eastAsia" w:ascii="仿宋" w:hAnsi="仿宋" w:eastAsia="仿宋" w:cs="仿宋"/>
          <w:b/>
          <w:color w:val="000000"/>
          <w:sz w:val="72"/>
          <w:szCs w:val="52"/>
          <w:highlight w:val="none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</w:rPr>
        <w:t>合同编号:</w:t>
      </w:r>
    </w:p>
    <w:p w14:paraId="0E5FB583">
      <w:pPr>
        <w:spacing w:line="360" w:lineRule="auto"/>
        <w:jc w:val="center"/>
        <w:outlineLvl w:val="9"/>
        <w:rPr>
          <w:rFonts w:hint="eastAsia" w:ascii="仿宋" w:hAnsi="仿宋" w:eastAsia="仿宋" w:cs="仿宋"/>
          <w:b/>
          <w:color w:val="000000"/>
          <w:sz w:val="72"/>
          <w:szCs w:val="52"/>
          <w:highlight w:val="none"/>
        </w:rPr>
      </w:pPr>
      <w:bookmarkStart w:id="0" w:name="_Toc29806"/>
      <w:bookmarkStart w:id="1" w:name="_Toc28685"/>
      <w:bookmarkStart w:id="2" w:name="_Toc6353"/>
      <w:bookmarkStart w:id="3" w:name="_Toc24505"/>
    </w:p>
    <w:p w14:paraId="00D31FDF">
      <w:pPr>
        <w:spacing w:line="360" w:lineRule="auto"/>
        <w:jc w:val="center"/>
        <w:outlineLvl w:val="9"/>
        <w:rPr>
          <w:rFonts w:hint="eastAsia" w:ascii="仿宋" w:hAnsi="仿宋" w:eastAsia="仿宋" w:cs="仿宋"/>
          <w:b/>
          <w:color w:val="000000"/>
          <w:sz w:val="72"/>
          <w:szCs w:val="52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72"/>
          <w:szCs w:val="52"/>
          <w:highlight w:val="none"/>
        </w:rPr>
        <w:t>政府采购合同</w:t>
      </w:r>
      <w:bookmarkEnd w:id="0"/>
      <w:bookmarkEnd w:id="1"/>
      <w:bookmarkEnd w:id="2"/>
      <w:bookmarkEnd w:id="3"/>
    </w:p>
    <w:p w14:paraId="29F9EDA9">
      <w:pPr>
        <w:spacing w:line="360" w:lineRule="auto"/>
        <w:jc w:val="center"/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52"/>
          <w:szCs w:val="52"/>
          <w:highlight w:val="none"/>
        </w:rPr>
        <w:t>（示范文本）</w:t>
      </w:r>
    </w:p>
    <w:p w14:paraId="7DEB7FCD">
      <w:pPr>
        <w:pStyle w:val="3"/>
        <w:rPr>
          <w:rFonts w:hint="eastAsia" w:ascii="仿宋" w:hAnsi="仿宋" w:eastAsia="仿宋" w:cs="仿宋"/>
          <w:b/>
          <w:bCs/>
          <w:kern w:val="0"/>
          <w:sz w:val="52"/>
          <w:szCs w:val="52"/>
          <w:lang w:eastAsia="zh-CN"/>
        </w:rPr>
      </w:pPr>
    </w:p>
    <w:p w14:paraId="057B6952">
      <w:pPr>
        <w:rPr>
          <w:rFonts w:hint="eastAsia" w:ascii="仿宋" w:hAnsi="仿宋" w:eastAsia="仿宋" w:cs="仿宋"/>
          <w:b/>
          <w:bCs/>
          <w:kern w:val="0"/>
          <w:sz w:val="52"/>
          <w:szCs w:val="52"/>
          <w:lang w:eastAsia="zh-CN"/>
        </w:rPr>
      </w:pPr>
    </w:p>
    <w:p w14:paraId="3D8DAC5E">
      <w:pPr>
        <w:pStyle w:val="3"/>
        <w:rPr>
          <w:rFonts w:hint="eastAsia" w:ascii="仿宋" w:hAnsi="仿宋" w:eastAsia="仿宋" w:cs="仿宋"/>
          <w:b/>
          <w:bCs/>
          <w:kern w:val="0"/>
          <w:sz w:val="52"/>
          <w:szCs w:val="52"/>
          <w:lang w:eastAsia="zh-CN"/>
        </w:rPr>
      </w:pPr>
    </w:p>
    <w:p w14:paraId="0058A006">
      <w:pPr>
        <w:rPr>
          <w:rFonts w:hint="eastAsia" w:ascii="仿宋" w:hAnsi="仿宋" w:eastAsia="仿宋" w:cs="仿宋"/>
          <w:b/>
          <w:bCs/>
          <w:kern w:val="0"/>
          <w:sz w:val="52"/>
          <w:szCs w:val="52"/>
          <w:lang w:eastAsia="zh-CN"/>
        </w:rPr>
      </w:pPr>
    </w:p>
    <w:p w14:paraId="7635755F">
      <w:pPr>
        <w:pStyle w:val="3"/>
        <w:rPr>
          <w:rFonts w:hint="eastAsia" w:ascii="仿宋" w:hAnsi="仿宋" w:eastAsia="仿宋" w:cs="仿宋"/>
          <w:lang w:eastAsia="zh-CN"/>
        </w:rPr>
      </w:pPr>
    </w:p>
    <w:p w14:paraId="01B10A66">
      <w:pPr>
        <w:rPr>
          <w:rFonts w:hint="eastAsia" w:ascii="仿宋" w:hAnsi="仿宋" w:eastAsia="仿宋" w:cs="仿宋"/>
          <w:lang w:eastAsia="zh-CN"/>
        </w:rPr>
      </w:pPr>
    </w:p>
    <w:p w14:paraId="32038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</w:rPr>
        <w:t>采购项目名称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</w:t>
      </w:r>
    </w:p>
    <w:p w14:paraId="674D1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</w:rPr>
        <w:t>采购人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      </w:t>
      </w:r>
    </w:p>
    <w:p w14:paraId="3DDDF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</w:rPr>
        <w:t>成交供应商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  </w:t>
      </w:r>
    </w:p>
    <w:p w14:paraId="727C7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color w:val="000000"/>
          <w:sz w:val="72"/>
          <w:szCs w:val="52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</w:rPr>
        <w:t>签署日期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    </w:t>
      </w:r>
    </w:p>
    <w:p w14:paraId="562CD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甲方(采购人):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</w:t>
      </w:r>
    </w:p>
    <w:p w14:paraId="4B531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乙方(成交供应商):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</w:t>
      </w:r>
    </w:p>
    <w:p w14:paraId="12813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依据《中华人民共和国民法典》和《中华人民共和国政府采购法》，经双方协商按下述条款和条件签署本合同。</w:t>
      </w:r>
    </w:p>
    <w:p w14:paraId="4B97BFC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  <w:sectPr>
          <w:footerReference r:id="rId4" w:type="first"/>
          <w:footerReference r:id="rId3" w:type="default"/>
          <w:pgSz w:w="12240" w:h="15840"/>
          <w:pgMar w:top="1440" w:right="1400" w:bottom="1440" w:left="1797" w:header="720" w:footer="720" w:gutter="0"/>
          <w:pgNumType w:fmt="numberInDash"/>
          <w:cols w:space="720" w:num="1"/>
        </w:sectPr>
      </w:pPr>
    </w:p>
    <w:p w14:paraId="182969A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sz w:val="48"/>
          <w:szCs w:val="48"/>
        </w:rPr>
      </w:pPr>
      <w:bookmarkStart w:id="4" w:name="_Toc4186"/>
      <w:r>
        <w:rPr>
          <w:rFonts w:hint="eastAsia" w:ascii="仿宋" w:hAnsi="仿宋" w:eastAsia="仿宋" w:cs="仿宋"/>
          <w:color w:val="auto"/>
          <w:sz w:val="32"/>
          <w:szCs w:val="40"/>
          <w:highlight w:val="none"/>
        </w:rPr>
        <w:t>合同主要条款</w:t>
      </w:r>
      <w:bookmarkEnd w:id="4"/>
    </w:p>
    <w:p w14:paraId="1A52594E">
      <w:pPr>
        <w:spacing w:line="44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545E65D5"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采购人（甲方）：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</w:t>
      </w:r>
    </w:p>
    <w:p w14:paraId="3C0A4454"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成交人（乙方）：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</w:t>
      </w:r>
    </w:p>
    <w:p w14:paraId="0E8B2EC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highlight w:val="none"/>
        </w:rPr>
        <w:t>根据《中华人民共和</w:t>
      </w:r>
      <w:r>
        <w:rPr>
          <w:rFonts w:hint="eastAsia" w:ascii="仿宋" w:hAnsi="仿宋" w:eastAsia="仿宋" w:cs="仿宋"/>
          <w:color w:val="000000"/>
          <w:sz w:val="30"/>
          <w:szCs w:val="30"/>
          <w:highlight w:val="none"/>
          <w:lang w:val="en-US" w:eastAsia="zh-CN"/>
        </w:rPr>
        <w:t>国民法典</w:t>
      </w:r>
      <w:r>
        <w:rPr>
          <w:rFonts w:hint="eastAsia" w:ascii="仿宋" w:hAnsi="仿宋" w:eastAsia="仿宋" w:cs="仿宋"/>
          <w:color w:val="000000"/>
          <w:sz w:val="30"/>
          <w:szCs w:val="30"/>
          <w:highlight w:val="none"/>
          <w:lang w:eastAsia="zh-CN"/>
        </w:rPr>
        <w:t>》《</w:t>
      </w:r>
      <w:bookmarkStart w:id="5" w:name="OLE_LINK1"/>
      <w:r>
        <w:rPr>
          <w:rFonts w:hint="eastAsia" w:ascii="仿宋" w:hAnsi="仿宋" w:eastAsia="仿宋" w:cs="仿宋"/>
          <w:color w:val="000000"/>
          <w:sz w:val="30"/>
          <w:szCs w:val="30"/>
          <w:highlight w:val="none"/>
          <w:lang w:val="en-US" w:eastAsia="zh-CN"/>
        </w:rPr>
        <w:t>城市绿化条例（国务院）</w:t>
      </w:r>
      <w:r>
        <w:rPr>
          <w:rFonts w:hint="eastAsia" w:ascii="仿宋" w:hAnsi="仿宋" w:eastAsia="仿宋" w:cs="仿宋"/>
          <w:color w:val="000000"/>
          <w:sz w:val="30"/>
          <w:szCs w:val="30"/>
          <w:highlight w:val="none"/>
          <w:lang w:val="en-US" w:eastAsia="zh-CN"/>
        </w:rPr>
        <w:t>》《</w:t>
      </w:r>
      <w:r>
        <w:rPr>
          <w:rFonts w:hint="eastAsia" w:ascii="仿宋" w:hAnsi="仿宋" w:eastAsia="仿宋" w:cs="仿宋"/>
          <w:color w:val="000000"/>
          <w:sz w:val="30"/>
          <w:szCs w:val="30"/>
          <w:highlight w:val="none"/>
          <w:lang w:val="en-US" w:eastAsia="zh-CN"/>
        </w:rPr>
        <w:t>陕西省城镇绿化条例</w:t>
      </w:r>
      <w:r>
        <w:rPr>
          <w:rFonts w:hint="eastAsia" w:ascii="仿宋" w:hAnsi="仿宋" w:eastAsia="仿宋" w:cs="仿宋"/>
          <w:color w:val="000000"/>
          <w:sz w:val="30"/>
          <w:szCs w:val="30"/>
          <w:highlight w:val="none"/>
          <w:lang w:eastAsia="zh-CN"/>
        </w:rPr>
        <w:t>》</w:t>
      </w:r>
      <w:bookmarkEnd w:id="5"/>
      <w:r>
        <w:rPr>
          <w:rFonts w:hint="eastAsia" w:ascii="仿宋" w:hAnsi="仿宋" w:eastAsia="仿宋" w:cs="仿宋"/>
          <w:color w:val="000000"/>
          <w:sz w:val="30"/>
          <w:szCs w:val="30"/>
          <w:highlight w:val="none"/>
        </w:rPr>
        <w:t>及有关法律规定，</w:t>
      </w:r>
      <w:r>
        <w:rPr>
          <w:rFonts w:hint="eastAsia" w:ascii="仿宋" w:hAnsi="仿宋" w:eastAsia="仿宋" w:cs="仿宋"/>
          <w:sz w:val="32"/>
          <w:szCs w:val="32"/>
        </w:rPr>
        <w:t>双方本着平等、自愿、互惠互利的原则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，就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承包给乙方的事项，</w:t>
      </w:r>
      <w:r>
        <w:rPr>
          <w:rFonts w:hint="eastAsia" w:ascii="仿宋" w:hAnsi="仿宋" w:eastAsia="仿宋" w:cs="仿宋"/>
          <w:sz w:val="32"/>
          <w:szCs w:val="32"/>
        </w:rPr>
        <w:t>经双方协商一致同意签订该工程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养护</w:t>
      </w:r>
      <w:r>
        <w:rPr>
          <w:rFonts w:hint="eastAsia" w:ascii="仿宋" w:hAnsi="仿宋" w:eastAsia="仿宋" w:cs="仿宋"/>
          <w:sz w:val="32"/>
          <w:szCs w:val="32"/>
        </w:rPr>
        <w:t>合同书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具体条款如下：</w:t>
      </w:r>
    </w:p>
    <w:p w14:paraId="61D62FE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3" w:firstLineChars="200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  <w:t>养护内容</w:t>
      </w:r>
    </w:p>
    <w:p w14:paraId="3BD81C63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养护</w:t>
      </w:r>
      <w:r>
        <w:rPr>
          <w:rFonts w:hint="eastAsia" w:ascii="仿宋" w:hAnsi="仿宋" w:eastAsia="仿宋" w:cs="仿宋"/>
          <w:sz w:val="32"/>
          <w:szCs w:val="32"/>
        </w:rPr>
        <w:t>内容：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</w:t>
      </w:r>
    </w:p>
    <w:p w14:paraId="285065EE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  <w:t>、工程养护期限</w:t>
      </w:r>
    </w:p>
    <w:p w14:paraId="5E25534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left="638" w:leftChars="304" w:firstLine="160" w:firstLineChars="5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养护</w:t>
      </w:r>
      <w:r>
        <w:rPr>
          <w:rFonts w:hint="eastAsia" w:ascii="仿宋" w:hAnsi="仿宋" w:eastAsia="仿宋" w:cs="仿宋"/>
          <w:sz w:val="32"/>
          <w:szCs w:val="32"/>
        </w:rPr>
        <w:t>期为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一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年，</w:t>
      </w:r>
      <w:r>
        <w:rPr>
          <w:rFonts w:hint="eastAsia" w:ascii="仿宋" w:hAnsi="仿宋" w:eastAsia="仿宋" w:cs="仿宋"/>
          <w:sz w:val="32"/>
          <w:szCs w:val="32"/>
        </w:rPr>
        <w:t>自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日至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年</w:t>
      </w:r>
    </w:p>
    <w:p w14:paraId="49743C4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结束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1D7633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40" w:lineRule="exact"/>
        <w:ind w:firstLine="800" w:firstLineChars="25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如遇特殊情况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人力不可抗拒的自然因素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限</w:t>
      </w:r>
      <w:r>
        <w:rPr>
          <w:rFonts w:hint="eastAsia" w:ascii="仿宋" w:hAnsi="仿宋" w:eastAsia="仿宋" w:cs="仿宋"/>
          <w:sz w:val="32"/>
          <w:szCs w:val="32"/>
        </w:rPr>
        <w:t>顺延。</w:t>
      </w:r>
    </w:p>
    <w:p w14:paraId="793A4AF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  <w:t>三、合同金额及支付方式</w:t>
      </w:r>
    </w:p>
    <w:p w14:paraId="16260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本养护</w:t>
      </w:r>
      <w:r>
        <w:rPr>
          <w:rFonts w:hint="eastAsia" w:ascii="仿宋" w:hAnsi="仿宋" w:eastAsia="仿宋" w:cs="仿宋"/>
          <w:sz w:val="32"/>
          <w:szCs w:val="32"/>
        </w:rPr>
        <w:t>合同总价</w:t>
      </w:r>
      <w:r>
        <w:rPr>
          <w:rFonts w:hint="eastAsia" w:ascii="仿宋" w:hAnsi="仿宋" w:eastAsia="仿宋" w:cs="仿宋"/>
          <w:sz w:val="32"/>
          <w:szCs w:val="32"/>
        </w:rPr>
        <w:t>￥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大写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2D01663E">
      <w:pPr>
        <w:spacing w:line="640" w:lineRule="exact"/>
        <w:ind w:firstLine="64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Hans"/>
        </w:rPr>
        <w:t>支付方式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Hans"/>
        </w:rPr>
        <w:t>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Hans"/>
        </w:rPr>
        <w:t xml:space="preserve">按季度支付 ，达到付款条件起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Hans"/>
        </w:rPr>
        <w:t xml:space="preserve"> 日内，支付合同总金额的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Hans"/>
        </w:rPr>
        <w:t>5.00%。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（即￥   元，大写： </w:t>
      </w:r>
      <w:bookmarkStart w:id="6" w:name="_GoBack"/>
      <w:bookmarkEnd w:id="6"/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）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Hans"/>
        </w:rPr>
        <w:t>支付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。最终支付的金额以管理考核细则考评得分为准。（详见公园管理考核管理细则）</w:t>
      </w:r>
    </w:p>
    <w:p w14:paraId="37E7B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  <w:t>四、 质量标准∶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符合国家《城市绿化条例（国务院）》及相关合格标准，符合养护、质量验收规范要求及甲方提出的合理化要求。</w:t>
      </w:r>
    </w:p>
    <w:p w14:paraId="341454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五、工程验收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：该养护按季度验收，乙方以书面形式向甲方申请养护验收，甲方组织相关单位进行考核、验收，具体由市政园林股负责。</w:t>
      </w:r>
    </w:p>
    <w:p w14:paraId="085F2092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  <w:t>六、甲乙双方的权利和义务</w:t>
      </w:r>
    </w:p>
    <w:p w14:paraId="15703DF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</w:t>
      </w:r>
      <w:r>
        <w:rPr>
          <w:rFonts w:hint="eastAsia" w:ascii="仿宋" w:hAnsi="仿宋" w:eastAsia="仿宋" w:cs="仿宋"/>
          <w:sz w:val="32"/>
          <w:szCs w:val="32"/>
        </w:rPr>
        <w:t>甲方的权利和义务</w:t>
      </w:r>
    </w:p>
    <w:p w14:paraId="7783EC6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甲方对乙方的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养护</w:t>
      </w:r>
      <w:r>
        <w:rPr>
          <w:rFonts w:hint="eastAsia" w:ascii="仿宋" w:hAnsi="仿宋" w:eastAsia="仿宋" w:cs="仿宋"/>
          <w:sz w:val="32"/>
          <w:szCs w:val="32"/>
        </w:rPr>
        <w:t>质量、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严格按照相关绿化条例标准</w:t>
      </w:r>
      <w:r>
        <w:rPr>
          <w:rFonts w:hint="eastAsia" w:ascii="仿宋" w:hAnsi="仿宋" w:eastAsia="仿宋" w:cs="仿宋"/>
          <w:sz w:val="32"/>
          <w:szCs w:val="32"/>
        </w:rPr>
        <w:t>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考核、监督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6E335CD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在合同履行期内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甲方不得重复发包该工程。</w:t>
      </w:r>
    </w:p>
    <w:p w14:paraId="645E97F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3.遇到重大事件，若乙方不能按照甲方的要求处置，甲方有权另外处置，相关处置费用从乙方承包款内扣除。</w:t>
      </w:r>
    </w:p>
    <w:p w14:paraId="5DE71D9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lef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（2）乙方的权利及义务</w:t>
      </w:r>
    </w:p>
    <w:p w14:paraId="2FDBC13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乙方在承担本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养护</w:t>
      </w:r>
      <w:r>
        <w:rPr>
          <w:rFonts w:hint="eastAsia" w:ascii="仿宋" w:hAnsi="仿宋" w:eastAsia="仿宋" w:cs="仿宋"/>
          <w:sz w:val="32"/>
          <w:szCs w:val="32"/>
        </w:rPr>
        <w:t>中要严格执行安全操作规程，制定切实可行的安全措施。乙方在承担本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养护工作中</w:t>
      </w:r>
      <w:r>
        <w:rPr>
          <w:rFonts w:hint="eastAsia" w:ascii="仿宋" w:hAnsi="仿宋" w:eastAsia="仿宋" w:cs="仿宋"/>
          <w:sz w:val="32"/>
          <w:szCs w:val="32"/>
        </w:rPr>
        <w:t>发生的一切事故均由乙方负责，甲方不负任何责任。</w:t>
      </w:r>
    </w:p>
    <w:p w14:paraId="313FD05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乙方必须按规定服从甲方管理。</w:t>
      </w:r>
    </w:p>
    <w:p w14:paraId="29A532B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乙方应遵守甲方场地内各项管理制度，在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养护</w:t>
      </w:r>
      <w:r>
        <w:rPr>
          <w:rFonts w:hint="eastAsia" w:ascii="仿宋" w:hAnsi="仿宋" w:eastAsia="仿宋" w:cs="仿宋"/>
          <w:sz w:val="32"/>
          <w:szCs w:val="32"/>
        </w:rPr>
        <w:t>过程中乙方如遇技术和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养护</w:t>
      </w:r>
      <w:r>
        <w:rPr>
          <w:rFonts w:hint="eastAsia" w:ascii="仿宋" w:hAnsi="仿宋" w:eastAsia="仿宋" w:cs="仿宋"/>
          <w:sz w:val="32"/>
          <w:szCs w:val="32"/>
        </w:rPr>
        <w:t>管理等方面的问题及时与甲方沟通，以便妥善及时地解决。</w:t>
      </w:r>
    </w:p>
    <w:p w14:paraId="7E565AD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乙方应坚持文明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养护</w:t>
      </w:r>
      <w:r>
        <w:rPr>
          <w:rFonts w:hint="eastAsia" w:ascii="仿宋" w:hAnsi="仿宋" w:eastAsia="仿宋" w:cs="仿宋"/>
          <w:sz w:val="32"/>
          <w:szCs w:val="32"/>
        </w:rPr>
        <w:t>，现场各种材料、机具堆放整齐，规范有序作业，现场环境整洁。</w:t>
      </w:r>
    </w:p>
    <w:p w14:paraId="0088C25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5.乙方在养护期内若出现设施修缮不到位，不及时所造成的损失由乙方承担。</w:t>
      </w:r>
    </w:p>
    <w:p w14:paraId="27D38A1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6.乙方在承担本养护及修缮过程中（基础设施更新除外）所产生的水费、电费均由乙方承担。</w:t>
      </w:r>
    </w:p>
    <w:p w14:paraId="5C901E8D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  <w:t>七、安全文明养护</w:t>
      </w:r>
    </w:p>
    <w:p w14:paraId="6CFAC1E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乙方在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养护</w:t>
      </w:r>
      <w:r>
        <w:rPr>
          <w:rFonts w:hint="eastAsia" w:ascii="仿宋" w:hAnsi="仿宋" w:eastAsia="仿宋" w:cs="仿宋"/>
          <w:sz w:val="32"/>
          <w:szCs w:val="32"/>
        </w:rPr>
        <w:t>期间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必须配备相关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专业养护</w:t>
      </w:r>
      <w:r>
        <w:rPr>
          <w:rFonts w:hint="eastAsia" w:ascii="仿宋" w:hAnsi="仿宋" w:eastAsia="仿宋" w:cs="仿宋"/>
          <w:sz w:val="32"/>
          <w:szCs w:val="32"/>
        </w:rPr>
        <w:t>人员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并接受甲方的安全监督。</w:t>
      </w:r>
    </w:p>
    <w:p w14:paraId="6973BCC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乙方应保证使用完好的机械设备，操作人员持证上岗，并注意安全作业，避免各类安全事故的发生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养护</w:t>
      </w:r>
      <w:r>
        <w:rPr>
          <w:rFonts w:hint="eastAsia" w:ascii="仿宋" w:hAnsi="仿宋" w:eastAsia="仿宋" w:cs="仿宋"/>
          <w:sz w:val="32"/>
          <w:szCs w:val="32"/>
        </w:rPr>
        <w:t>期间造成的所有安全事故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由乙方承担相关的法律责任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并承担一切经济费用和损失。甲方概不负责。</w:t>
      </w:r>
    </w:p>
    <w:p w14:paraId="4A9164AE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  <w:t>八、争议的解决方式 </w:t>
      </w:r>
    </w:p>
    <w:p w14:paraId="0FFFF51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合同执行过程中如发生争议，双方应及时协商解决。协商不成可直接向</w:t>
      </w:r>
      <w:r>
        <w:rPr>
          <w:rFonts w:hint="eastAsia" w:ascii="仿宋" w:hAnsi="仿宋" w:eastAsia="仿宋" w:cs="仿宋"/>
          <w:sz w:val="32"/>
          <w:szCs w:val="32"/>
          <w:u w:val="single"/>
        </w:rPr>
        <w:t>甲方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工程所在</w:t>
      </w:r>
      <w:r>
        <w:rPr>
          <w:rFonts w:hint="eastAsia" w:ascii="仿宋" w:hAnsi="仿宋" w:eastAsia="仿宋" w:cs="仿宋"/>
          <w:sz w:val="32"/>
          <w:szCs w:val="32"/>
          <w:u w:val="single"/>
        </w:rPr>
        <w:t>地</w:t>
      </w:r>
      <w:r>
        <w:rPr>
          <w:rFonts w:hint="eastAsia" w:ascii="仿宋" w:hAnsi="仿宋" w:eastAsia="仿宋" w:cs="仿宋"/>
          <w:sz w:val="32"/>
          <w:szCs w:val="32"/>
        </w:rPr>
        <w:t>人民法院起诉。 </w:t>
      </w:r>
    </w:p>
    <w:p w14:paraId="22388742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1"/>
          <w:lang w:val="en-US" w:eastAsia="zh-CN"/>
        </w:rPr>
        <w:t>九、附则 </w:t>
      </w:r>
    </w:p>
    <w:p w14:paraId="5A317B6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其他</w:t>
      </w:r>
      <w:r>
        <w:rPr>
          <w:rFonts w:hint="eastAsia" w:ascii="仿宋" w:hAnsi="仿宋" w:eastAsia="仿宋" w:cs="仿宋"/>
          <w:sz w:val="32"/>
          <w:szCs w:val="32"/>
        </w:rPr>
        <w:t>本合同未言明事项，一律按《</w:t>
      </w:r>
      <w:r>
        <w:rPr>
          <w:rFonts w:hint="eastAsia" w:ascii="仿宋" w:hAnsi="仿宋" w:eastAsia="仿宋" w:cs="仿宋"/>
          <w:color w:val="000000"/>
          <w:sz w:val="30"/>
          <w:szCs w:val="30"/>
          <w:highlight w:val="none"/>
        </w:rPr>
        <w:t>中华人民共和</w:t>
      </w:r>
      <w:r>
        <w:rPr>
          <w:rFonts w:hint="eastAsia" w:ascii="仿宋" w:hAnsi="仿宋" w:eastAsia="仿宋" w:cs="仿宋"/>
          <w:color w:val="000000"/>
          <w:sz w:val="30"/>
          <w:szCs w:val="30"/>
          <w:highlight w:val="none"/>
          <w:lang w:val="en-US" w:eastAsia="zh-CN"/>
        </w:rPr>
        <w:t>国民法典</w:t>
      </w:r>
      <w:r>
        <w:rPr>
          <w:rFonts w:hint="eastAsia" w:ascii="仿宋" w:hAnsi="仿宋" w:eastAsia="仿宋" w:cs="仿宋"/>
          <w:sz w:val="32"/>
          <w:szCs w:val="32"/>
        </w:rPr>
        <w:t>》和其他相关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法律法规</w:t>
      </w:r>
      <w:r>
        <w:rPr>
          <w:rFonts w:hint="eastAsia" w:ascii="仿宋" w:hAnsi="仿宋" w:eastAsia="仿宋" w:cs="仿宋"/>
          <w:sz w:val="32"/>
          <w:szCs w:val="32"/>
        </w:rPr>
        <w:t>规定执行。本合同经双方签字或盖章后生效，至合同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养护期满</w:t>
      </w:r>
      <w:r>
        <w:rPr>
          <w:rFonts w:hint="eastAsia" w:ascii="仿宋" w:hAnsi="仿宋" w:eastAsia="仿宋" w:cs="仿宋"/>
          <w:sz w:val="32"/>
          <w:szCs w:val="32"/>
        </w:rPr>
        <w:t>交验，结清工程尾款后自然失效。</w:t>
      </w:r>
    </w:p>
    <w:p w14:paraId="026B7A1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本合同一式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肆</w:t>
      </w:r>
      <w:r>
        <w:rPr>
          <w:rFonts w:hint="eastAsia" w:ascii="仿宋" w:hAnsi="仿宋" w:eastAsia="仿宋" w:cs="仿宋"/>
          <w:sz w:val="32"/>
          <w:szCs w:val="32"/>
        </w:rPr>
        <w:t>份，其中甲方、乙方各执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贰</w:t>
      </w:r>
      <w:r>
        <w:rPr>
          <w:rFonts w:hint="eastAsia" w:ascii="仿宋" w:hAnsi="仿宋" w:eastAsia="仿宋" w:cs="仿宋"/>
          <w:sz w:val="32"/>
          <w:szCs w:val="32"/>
        </w:rPr>
        <w:t>份。</w:t>
      </w:r>
    </w:p>
    <w:p w14:paraId="696ACDB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 w14:paraId="627673A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 w14:paraId="00315F3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甲方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盖章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：                   乙方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（盖章）：</w:t>
      </w:r>
    </w:p>
    <w:p w14:paraId="25993AA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 w14:paraId="2BC6710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代表人或授权代表人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代表人或授权代表人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 w14:paraId="5A0B8D6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 w14:paraId="5E9F1DB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4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日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月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141154C6">
      <w:pPr>
        <w:rPr>
          <w:rFonts w:hint="eastAsia" w:ascii="仿宋_GB2312" w:hAnsi="仿宋" w:eastAsia="仿宋_GB2312"/>
          <w:sz w:val="32"/>
          <w:szCs w:val="32"/>
        </w:rPr>
      </w:pPr>
    </w:p>
    <w:p w14:paraId="217A68EF"/>
    <w:sectPr>
      <w:headerReference r:id="rId5" w:type="default"/>
      <w:pgSz w:w="11906" w:h="16838"/>
      <w:pgMar w:top="1440" w:right="1474" w:bottom="1440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DDBC8">
    <w:pPr>
      <w:pStyle w:val="5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B13AD">
    <w:pPr>
      <w:pStyle w:val="5"/>
      <w:jc w:val="center"/>
      <w:rPr>
        <w:rFonts w:hint="eastAsia"/>
      </w:rPr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2FE52F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B6281"/>
    <w:rsid w:val="007E2EF7"/>
    <w:rsid w:val="00814795"/>
    <w:rsid w:val="01883901"/>
    <w:rsid w:val="06287461"/>
    <w:rsid w:val="09187C60"/>
    <w:rsid w:val="0ADE3C46"/>
    <w:rsid w:val="0F040A6B"/>
    <w:rsid w:val="0F421593"/>
    <w:rsid w:val="119B31DD"/>
    <w:rsid w:val="122B4561"/>
    <w:rsid w:val="128D521B"/>
    <w:rsid w:val="15712BD2"/>
    <w:rsid w:val="15D46B7E"/>
    <w:rsid w:val="17005FBC"/>
    <w:rsid w:val="18C90580"/>
    <w:rsid w:val="1A937147"/>
    <w:rsid w:val="20E5330E"/>
    <w:rsid w:val="23F549CE"/>
    <w:rsid w:val="24521E21"/>
    <w:rsid w:val="250A26FB"/>
    <w:rsid w:val="26C012C4"/>
    <w:rsid w:val="298A310F"/>
    <w:rsid w:val="29B80978"/>
    <w:rsid w:val="2A465F84"/>
    <w:rsid w:val="2BB67139"/>
    <w:rsid w:val="2C554AAF"/>
    <w:rsid w:val="2C7C5C8D"/>
    <w:rsid w:val="30E437BE"/>
    <w:rsid w:val="32F347CF"/>
    <w:rsid w:val="396F42D7"/>
    <w:rsid w:val="3C371BD0"/>
    <w:rsid w:val="3D0F66A9"/>
    <w:rsid w:val="40041DC9"/>
    <w:rsid w:val="404C3C34"/>
    <w:rsid w:val="418D4040"/>
    <w:rsid w:val="43FF1225"/>
    <w:rsid w:val="45AA3413"/>
    <w:rsid w:val="48396CD0"/>
    <w:rsid w:val="48A73C3A"/>
    <w:rsid w:val="4A7B537E"/>
    <w:rsid w:val="4A987CDE"/>
    <w:rsid w:val="50245B70"/>
    <w:rsid w:val="50D91050"/>
    <w:rsid w:val="532F31A9"/>
    <w:rsid w:val="54EE0579"/>
    <w:rsid w:val="570F1328"/>
    <w:rsid w:val="5A127C5A"/>
    <w:rsid w:val="5A20384C"/>
    <w:rsid w:val="5C2E2250"/>
    <w:rsid w:val="657D7DA4"/>
    <w:rsid w:val="6AFF7348"/>
    <w:rsid w:val="6FAD74D8"/>
    <w:rsid w:val="7012558D"/>
    <w:rsid w:val="71453E6C"/>
    <w:rsid w:val="718C4455"/>
    <w:rsid w:val="71B96608"/>
    <w:rsid w:val="78767001"/>
    <w:rsid w:val="79B24069"/>
    <w:rsid w:val="7E1C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toa heading"/>
    <w:basedOn w:val="1"/>
    <w:next w:val="1"/>
    <w:qFormat/>
    <w:uiPriority w:val="0"/>
    <w:rPr>
      <w:rFonts w:ascii="Arial" w:hAnsi="Arial" w:cs="Arial"/>
      <w:sz w:val="24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1378</Words>
  <Characters>1433</Characters>
  <Lines>0</Lines>
  <Paragraphs>0</Paragraphs>
  <TotalTime>0</TotalTime>
  <ScaleCrop>false</ScaleCrop>
  <LinksUpToDate>false</LinksUpToDate>
  <CharactersWithSpaces>1509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七月</cp:lastModifiedBy>
  <dcterms:modified xsi:type="dcterms:W3CDTF">2025-11-17T07:39:53Z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eyJoZGlkIjoiOWE1ZDM5YTdmMTM3YTE3MzUyNDQwNzU4ZmY0MGVhNDEiLCJ1c2VySWQiOiI2MTM5Mzg4NTYifQ==</vt:lpwstr>
  </property>
  <property fmtid="{D5CDD505-2E9C-101B-9397-08002B2CF9AE}" pid="4" name="ICV">
    <vt:lpwstr>01527CCC0EFB438DAF614C9B4E099A6D_12</vt:lpwstr>
  </property>
</Properties>
</file>