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版本号：HYDZB202505220251217001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门诊楼部分科室(急诊科、妇科及口腔科)装修工程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HYDZB2025052</w:t>
      </w:r>
      <w:r>
        <w:br/>
      </w:r>
      <w:r>
        <w:br/>
      </w:r>
      <w:r>
        <w:br/>
      </w:r>
    </w:p>
    <w:p>
      <w:pPr>
        <w:pStyle w:val="null3"/>
        <w:jc w:val="center"/>
        <w:outlineLvl w:val="2"/>
      </w:pPr>
      <w:r>
        <w:rPr>
          <w:rFonts w:ascii="仿宋_GB2312" w:hAnsi="仿宋_GB2312" w:cs="仿宋_GB2312" w:eastAsia="仿宋_GB2312"/>
          <w:sz w:val="28"/>
          <w:b/>
        </w:rPr>
        <w:t>华阴市人民医院</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华阴市人民医院</w:t>
      </w:r>
      <w:r>
        <w:rPr>
          <w:rFonts w:ascii="仿宋_GB2312" w:hAnsi="仿宋_GB2312" w:cs="仿宋_GB2312" w:eastAsia="仿宋_GB2312"/>
        </w:rPr>
        <w:t>委托，拟对</w:t>
      </w:r>
      <w:r>
        <w:rPr>
          <w:rFonts w:ascii="仿宋_GB2312" w:hAnsi="仿宋_GB2312" w:cs="仿宋_GB2312" w:eastAsia="仿宋_GB2312"/>
        </w:rPr>
        <w:t>门诊楼部分科室(急诊科、妇科及口腔科)装修工程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门诊楼部分科室(急诊科、妇科及口腔科)装修工程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华阴市人民医院门诊楼部分科室(急诊科、妇科及口腔科)装修工程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采购包1（华阴市人民医院门诊楼部分科室(急诊科、妇科及口腔科)装修工程）：属于专门面向中小企业采购。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2、法定代表人授权书或法定代表人身份证明：法定代表人授权书（附法定代表人及被授权人身份证复印件）；若法定代表人直接参加投标，仅需提供法定代表人身份证明（附法定代表人身份证复印件）；</w:t>
      </w:r>
    </w:p>
    <w:p>
      <w:pPr>
        <w:pStyle w:val="null3"/>
      </w:pPr>
      <w:r>
        <w:rPr>
          <w:rFonts w:ascii="仿宋_GB2312" w:hAnsi="仿宋_GB2312" w:cs="仿宋_GB2312" w:eastAsia="仿宋_GB2312"/>
        </w:rPr>
        <w:t>3、企业资质：供应商需具备建筑工程施工总承包三级及以上资质并具有有效的安全生产许可证；</w:t>
      </w:r>
    </w:p>
    <w:p>
      <w:pPr>
        <w:pStyle w:val="null3"/>
      </w:pPr>
      <w:r>
        <w:rPr>
          <w:rFonts w:ascii="仿宋_GB2312" w:hAnsi="仿宋_GB2312" w:cs="仿宋_GB2312" w:eastAsia="仿宋_GB2312"/>
        </w:rPr>
        <w:t>4、拟派项目负责人资格：拟派项目经理须具备建筑工程专业注册建造师二级及以上执业资格和有效的安全生产考核合格证书，在本单位注册，且未担任其他在建工程的项目经理；</w:t>
      </w:r>
    </w:p>
    <w:p>
      <w:pPr>
        <w:pStyle w:val="null3"/>
      </w:pPr>
      <w:r>
        <w:rPr>
          <w:rFonts w:ascii="仿宋_GB2312" w:hAnsi="仿宋_GB2312" w:cs="仿宋_GB2312" w:eastAsia="仿宋_GB2312"/>
        </w:rPr>
        <w:t>5、企业信誉：供应商未被“信用中国”网站（www.creditchina.gov.cn）列入失信被执行人和重大税收违法失信主体，未被中国政府采购网（www.ccgp.gov.cn）列入政府采购严重违法失信行为记录名单；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陕西省渭南市华阴市太华南路47号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13619130603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陕西省西安市临潼区秦陵南路20号二楼202室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采购包1：2,193,305.25元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华阴市人民医院</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达到国家现行施工质量验收规范“合格”标准要求。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联系人：邓钰春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2,193,305.25</w:t>
      </w:r>
    </w:p>
    <w:p>
      <w:pPr>
        <w:pStyle w:val="null3"/>
      </w:pPr>
      <w:r>
        <w:rPr>
          <w:rFonts w:ascii="仿宋_GB2312" w:hAnsi="仿宋_GB2312" w:cs="仿宋_GB2312" w:eastAsia="仿宋_GB2312"/>
        </w:rPr>
        <w:t>采购包最高限价（元）: 2,193,305.25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门诊楼部分科室装修工程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2,193,305.25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标的名称：门诊楼部分科室装修工程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一、项目概况</w:t>
            </w:r>
          </w:p>
          <w:p>
            <w:pPr>
              <w:pStyle w:val="null3"/>
              <w:ind w:firstLine="420"/>
              <w:jc w:val="left"/>
            </w:pPr>
            <w:r>
              <w:rPr>
                <w:rFonts w:ascii="仿宋_GB2312" w:hAnsi="仿宋_GB2312" w:cs="仿宋_GB2312" w:eastAsia="仿宋_GB2312"/>
                <w:sz w:val="21"/>
                <w:color w:val="000000"/>
              </w:rPr>
              <w:t>（一）工程内容：对华阴市人民医院门诊楼一楼急诊科的抢救室、手术室、重症监护室，三楼妇科门诊手术室、四楼口腔科牙片室等进行装修，详见招标工程量清单。</w:t>
            </w:r>
          </w:p>
          <w:p>
            <w:pPr>
              <w:pStyle w:val="null3"/>
              <w:ind w:firstLine="420"/>
              <w:jc w:val="left"/>
            </w:pPr>
            <w:r>
              <w:rPr>
                <w:rFonts w:ascii="仿宋_GB2312" w:hAnsi="仿宋_GB2312" w:cs="仿宋_GB2312" w:eastAsia="仿宋_GB2312"/>
                <w:sz w:val="21"/>
                <w:color w:val="000000"/>
              </w:rPr>
              <w:t>（二）工程地点：华阴市人民医院门诊楼。</w:t>
            </w:r>
          </w:p>
          <w:p>
            <w:pPr>
              <w:pStyle w:val="null3"/>
              <w:ind w:firstLine="420"/>
              <w:jc w:val="left"/>
            </w:pPr>
            <w:r>
              <w:rPr>
                <w:rFonts w:ascii="仿宋_GB2312" w:hAnsi="仿宋_GB2312" w:cs="仿宋_GB2312" w:eastAsia="仿宋_GB2312"/>
                <w:sz w:val="21"/>
                <w:color w:val="000000"/>
              </w:rPr>
              <w:t>（三）工期：</w:t>
            </w:r>
            <w:r>
              <w:rPr>
                <w:rFonts w:ascii="仿宋_GB2312" w:hAnsi="仿宋_GB2312" w:cs="仿宋_GB2312" w:eastAsia="仿宋_GB2312"/>
                <w:sz w:val="21"/>
                <w:color w:val="000000"/>
              </w:rPr>
              <w:t>60日历天。</w:t>
            </w:r>
          </w:p>
          <w:p>
            <w:pPr>
              <w:pStyle w:val="null3"/>
              <w:ind w:firstLine="420"/>
              <w:jc w:val="left"/>
            </w:pPr>
            <w:r>
              <w:rPr>
                <w:rFonts w:ascii="仿宋_GB2312" w:hAnsi="仿宋_GB2312" w:cs="仿宋_GB2312" w:eastAsia="仿宋_GB2312"/>
                <w:sz w:val="21"/>
                <w:color w:val="000000"/>
              </w:rPr>
              <w:t>（四）质量标准：合格</w:t>
            </w:r>
          </w:p>
          <w:p>
            <w:pPr>
              <w:pStyle w:val="null3"/>
              <w:ind w:firstLine="420"/>
              <w:jc w:val="left"/>
            </w:pPr>
            <w:r>
              <w:rPr>
                <w:rFonts w:ascii="仿宋_GB2312" w:hAnsi="仿宋_GB2312" w:cs="仿宋_GB2312" w:eastAsia="仿宋_GB2312"/>
                <w:sz w:val="21"/>
                <w:color w:val="000000"/>
              </w:rPr>
              <w:t>二、工程量清单</w:t>
            </w:r>
          </w:p>
          <w:p>
            <w:pPr>
              <w:pStyle w:val="null3"/>
              <w:ind w:firstLine="420"/>
              <w:jc w:val="left"/>
            </w:pPr>
            <w:r>
              <w:rPr>
                <w:rFonts w:ascii="仿宋_GB2312" w:hAnsi="仿宋_GB2312" w:cs="仿宋_GB2312" w:eastAsia="仿宋_GB2312"/>
                <w:sz w:val="21"/>
                <w:color w:val="000000"/>
              </w:rPr>
              <w:t>详见工程量清单附件。</w:t>
            </w:r>
          </w:p>
          <w:p>
            <w:pPr>
              <w:pStyle w:val="null3"/>
              <w:ind w:firstLine="420"/>
              <w:jc w:val="left"/>
            </w:pPr>
            <w:r>
              <w:rPr>
                <w:rFonts w:ascii="仿宋_GB2312" w:hAnsi="仿宋_GB2312" w:cs="仿宋_GB2312" w:eastAsia="仿宋_GB2312"/>
                <w:sz w:val="21"/>
                <w:color w:val="000000"/>
              </w:rPr>
              <w:t>三、工程指标的具体要求：</w:t>
            </w:r>
          </w:p>
          <w:p>
            <w:pPr>
              <w:pStyle w:val="null3"/>
              <w:ind w:firstLine="420"/>
              <w:jc w:val="left"/>
            </w:pPr>
            <w:r>
              <w:rPr>
                <w:rFonts w:ascii="仿宋_GB2312" w:hAnsi="仿宋_GB2312" w:cs="仿宋_GB2312" w:eastAsia="仿宋_GB2312"/>
                <w:sz w:val="21"/>
                <w:color w:val="000000"/>
              </w:rPr>
              <w:t>1、质保期：自竣工验收合格之日起一年。</w:t>
            </w:r>
          </w:p>
          <w:p>
            <w:pPr>
              <w:pStyle w:val="null3"/>
              <w:ind w:firstLine="420"/>
              <w:jc w:val="left"/>
            </w:pPr>
            <w:r>
              <w:rPr>
                <w:rFonts w:ascii="仿宋_GB2312" w:hAnsi="仿宋_GB2312" w:cs="仿宋_GB2312" w:eastAsia="仿宋_GB2312"/>
                <w:sz w:val="21"/>
                <w:color w:val="000000"/>
              </w:rPr>
              <w:t>2、工程项目建设相关要求：安全文明施工。</w:t>
            </w:r>
          </w:p>
          <w:p>
            <w:pPr>
              <w:pStyle w:val="null3"/>
              <w:ind w:firstLine="420"/>
              <w:jc w:val="left"/>
            </w:pPr>
            <w:r>
              <w:rPr>
                <w:rFonts w:ascii="仿宋_GB2312" w:hAnsi="仿宋_GB2312" w:cs="仿宋_GB2312" w:eastAsia="仿宋_GB2312"/>
                <w:sz w:val="21"/>
                <w:color w:val="000000"/>
              </w:rPr>
              <w:t>四、验收标准</w:t>
            </w:r>
          </w:p>
          <w:p>
            <w:pPr>
              <w:pStyle w:val="null3"/>
              <w:ind w:firstLine="420"/>
              <w:jc w:val="left"/>
            </w:pPr>
            <w:r>
              <w:rPr>
                <w:rFonts w:ascii="仿宋_GB2312" w:hAnsi="仿宋_GB2312" w:cs="仿宋_GB2312" w:eastAsia="仿宋_GB2312"/>
                <w:sz w:val="21"/>
                <w:color w:val="000000"/>
              </w:rPr>
              <w:t>1、本工程应按要求完成工程全部内容。</w:t>
            </w:r>
          </w:p>
          <w:p>
            <w:pPr>
              <w:pStyle w:val="null3"/>
              <w:ind w:firstLine="420"/>
              <w:jc w:val="left"/>
            </w:pPr>
            <w:r>
              <w:rPr>
                <w:rFonts w:ascii="仿宋_GB2312" w:hAnsi="仿宋_GB2312" w:cs="仿宋_GB2312" w:eastAsia="仿宋_GB2312"/>
                <w:sz w:val="21"/>
                <w:color w:val="000000"/>
              </w:rPr>
              <w:t>2、本工程验收标准应符合国家相关工程管理规定及行业标准以及图纸要求。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满足采购文件及合同相关技术服务要求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①税收缴纳证明：提供投标截止日前6个月内已缴纳的至少一个月的纳税证明或完税证明（任意税种），依法免税的单位应提供相关证明材料； ②、社会保障资金缴纳证明：提供投标截止日前6个月内已缴存的至少一个月的社会保障资金缴存单据或社保机构开具的社会保险参保缴费情况证明，依法不需要缴纳社会保障资金的单位应提供相关证明材料； ③提供具有履行本合同所必需的设备和专业技术能力的说明及承诺； ④参加政府采购活动前3年内经营活动中无重大违法记录声明；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供应商需在项目电子化交易系统中按要求填写《响应函》完成承诺并进行电子签章。提供供应商控股管理关系声明。</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法定代表人授权书（附法定代表人及被授权人身份证复印件）；若法定代表人直接参加投标，仅需提供法定代表人身份证明（附法定代表人身份证复印件）；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供应商需具备建筑工程施工总承包三级及以上资质并具有有效的安全生产许可证；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拟派项目经理须具备建筑工程专业注册建造师二级及以上执业资格和有效的安全生产考核合格证书，在本单位注册，且未担任其他在建工程的项目经理；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 的采购预算或最高限价</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评审内容：1、总体实施方案；2、技术组织措施。 评审标准：以上内容符合建设标准，切合本项目实际情况及实施要求，内容与要点相符、每个要点均有展开详细的阐述且能够适用于本项目的得20分；评审内容任意一项缺项或只有标题没有实质性内容扣10分，扣完为止；评审内容粗略、逻辑混乱、描述过于简单、与项目特点不匹配、凭空编造、逻辑漏洞、出现常识性错误、套用其他项目方案、存在不可能实现的夸大情形或存在不适用项目实际情况的情形每项扣1-9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质量、安全及文明施工保证措施</w:t>
            </w:r>
          </w:p>
        </w:tc>
        <w:tc>
          <w:tcPr>
            <w:tcW w:type="dxa" w:w="2492"/>
          </w:tcPr>
          <w:p>
            <w:pPr>
              <w:pStyle w:val="null3"/>
            </w:pPr>
            <w:r>
              <w:rPr>
                <w:rFonts w:ascii="仿宋_GB2312" w:hAnsi="仿宋_GB2312" w:cs="仿宋_GB2312" w:eastAsia="仿宋_GB2312"/>
              </w:rPr>
              <w:t>评审内容：1、质量保证措施；2、安全保证措施；3、文明施工保证措施。 评审标准：以上内容符合本项目实际情况及实施要求，内容与要点相符、每个要点均有展开详细的阐述且能够适用于本项目的得12分；评审内容任意一项缺项或只有标题没有实质性内容扣4分，扣完为止；评审内容粗略、逻辑混乱、描述过于简单、与项目特点不匹配、凭空编造、逻辑漏洞、出现常识性错误、套用其他项目方案、存在不可能实现的夸大情形或存在不适用项目实际情况的情形每项扣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施工进度计划与工期保证措施</w:t>
            </w:r>
          </w:p>
        </w:tc>
        <w:tc>
          <w:tcPr>
            <w:tcW w:type="dxa" w:w="2492"/>
          </w:tcPr>
          <w:p>
            <w:pPr>
              <w:pStyle w:val="null3"/>
            </w:pPr>
            <w:r>
              <w:rPr>
                <w:rFonts w:ascii="仿宋_GB2312" w:hAnsi="仿宋_GB2312" w:cs="仿宋_GB2312" w:eastAsia="仿宋_GB2312"/>
              </w:rPr>
              <w:t>评审内容：1、施工进度计划；2、工期保证措施。 评审标准：以上内容符合本项目实际情况及实施要求，内容与要点相符、每个要点均有展开详细的阐述且能够适用于本项目的得10分；评审内容任意一项缺项或只有标题没有实质性内容扣5分，扣完为止；评审粗略、逻辑混乱、描述过于简单、与项目特点不匹配、凭空编造、逻辑漏洞、出现常识性错误、套用其他项目方案、存在不可能实现的夸大情形或存在不适用项目实际情况的情形每项扣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1、项目负责人具有相关专业高级技术职称得2分，中级技术职称得1分。 2、项目组织管理机构人员配置合理（含施工员、质量员、材料员、资料员、安全员），齐全得5分；缺一人扣1分；供应商必须提供相关人员证书证明文件及社保并加盖公章，不提供不得分。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拟投入本项目主要施工机具、设备及劳动力配备情况</w:t>
            </w:r>
          </w:p>
        </w:tc>
        <w:tc>
          <w:tcPr>
            <w:tcW w:type="dxa" w:w="2492"/>
          </w:tcPr>
          <w:p>
            <w:pPr>
              <w:pStyle w:val="null3"/>
            </w:pPr>
            <w:r>
              <w:rPr>
                <w:rFonts w:ascii="仿宋_GB2312" w:hAnsi="仿宋_GB2312" w:cs="仿宋_GB2312" w:eastAsia="仿宋_GB2312"/>
              </w:rPr>
              <w:t>评审内容：1、主要施工机具、设备情况；2、劳动力配备情况。 评审标准：针对本项目拟投入的主要施工机具、设备及劳动力配备先进、科学；人员配备充足、合理，符合项目实际需求，且提供相应证明材料的，得6分；评审内容任意一项缺项或只有标题没有佐证材料扣3分，扣完为止；评审内容粗略、凭空编造、证明材料不全、配备不合理每项扣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供应商2021年1月1日至今具有类似装修工程业绩（以中标通知书或施工合同复印件加盖公章形式提供），每份计3分，计满 15 分为止；（以中标通知书时间或合同签订时间为准）否则业绩不予认可。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