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版本号：SXZYXM2025-5720251215001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华阴市城区热网建设及智慧供热更新改造项目最高限价评审采购中介机构服务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SXZYXM2025-57</w:t>
      </w:r>
      <w:r>
        <w:br/>
      </w:r>
      <w:r>
        <w:br/>
      </w:r>
      <w:r>
        <w:br/>
      </w:r>
    </w:p>
    <w:p>
      <w:pPr>
        <w:pStyle w:val="null3"/>
        <w:jc w:val="center"/>
        <w:outlineLvl w:val="2"/>
      </w:pPr>
      <w:r>
        <w:rPr>
          <w:rFonts w:ascii="仿宋_GB2312" w:hAnsi="仿宋_GB2312" w:cs="仿宋_GB2312" w:eastAsia="仿宋_GB2312"/>
          <w:sz w:val="28"/>
          <w:b/>
        </w:rPr>
        <w:t>华阴市财政投资评审中心</w:t>
      </w:r>
    </w:p>
    <w:p>
      <w:pPr>
        <w:pStyle w:val="null3"/>
        <w:jc w:val="center"/>
        <w:outlineLvl w:val="2"/>
      </w:pPr>
      <w:r>
        <w:rPr>
          <w:rFonts w:ascii="仿宋_GB2312" w:hAnsi="仿宋_GB2312" w:cs="仿宋_GB2312" w:eastAsia="仿宋_GB2312"/>
          <w:sz w:val="28"/>
          <w:b/>
        </w:rPr>
        <w:t>陕西正园工程项目管理有限公司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陕西正园工程项目管理有限公司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华阴市财政投资评审中心</w:t>
      </w:r>
      <w:r>
        <w:rPr>
          <w:rFonts w:ascii="仿宋_GB2312" w:hAnsi="仿宋_GB2312" w:cs="仿宋_GB2312" w:eastAsia="仿宋_GB2312"/>
        </w:rPr>
        <w:t>委托，拟对</w:t>
      </w:r>
      <w:r>
        <w:rPr>
          <w:rFonts w:ascii="仿宋_GB2312" w:hAnsi="仿宋_GB2312" w:cs="仿宋_GB2312" w:eastAsia="仿宋_GB2312"/>
        </w:rPr>
        <w:t>华阴市城区热网建设及智慧供热更新改造项目最高限价评审采购中介机构服务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SXZYXM2025-57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华阴市城区热网建设及智慧供热更新改造项目最高限价评审采购中介机构服务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对华阴市城区热网建设及智慧供热更新改造项目最高限价进行评审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采购包1（华阴市城区热网建设及智慧供热更新改造项目最高限价评审采购中介机构服务）：属于专门面向中小企业采购。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1、具有独立承担民事责任能力的法人、其他组织或自然人：提供合法有效的统一社会信用代码营业执照，自然人提供身份证</w:t>
      </w:r>
    </w:p>
    <w:p>
      <w:pPr>
        <w:pStyle w:val="null3"/>
      </w:pPr>
      <w:r>
        <w:rPr>
          <w:rFonts w:ascii="仿宋_GB2312" w:hAnsi="仿宋_GB2312" w:cs="仿宋_GB2312" w:eastAsia="仿宋_GB2312"/>
        </w:rPr>
        <w:t>2、供应商授权合法的人员参加磋商全过程：法定代表人授权委托书（附法定代表人身份证复印件）及被授权委托人身份证及被授权人开标前六个月内任意连续三个月在本单位的社保缴纳证明（法定代表人参加磋商只须提供法定代表人身份证及法人社保缴纳证明）；</w:t>
      </w:r>
    </w:p>
    <w:p>
      <w:pPr>
        <w:pStyle w:val="null3"/>
      </w:pPr>
      <w:r>
        <w:rPr>
          <w:rFonts w:ascii="仿宋_GB2312" w:hAnsi="仿宋_GB2312" w:cs="仿宋_GB2312" w:eastAsia="仿宋_GB2312"/>
        </w:rPr>
        <w:t>3、具有良好的商业信誉和健全的财务会计制度：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p>
      <w:pPr>
        <w:pStyle w:val="null3"/>
      </w:pPr>
      <w:r>
        <w:rPr>
          <w:rFonts w:ascii="仿宋_GB2312" w:hAnsi="仿宋_GB2312" w:cs="仿宋_GB2312" w:eastAsia="仿宋_GB2312"/>
        </w:rPr>
        <w:t>4、税收缴纳证明：提供递交截止时间前6个月内任意一个月的缴费凭据，依法免税的单位应提供相关证明材料；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6、资质条件：拟派项目负责人须具备一级注册造价工程师执业资格，在本单位注册</w:t>
      </w:r>
    </w:p>
    <w:p>
      <w:pPr>
        <w:pStyle w:val="null3"/>
      </w:pPr>
      <w:r>
        <w:rPr>
          <w:rFonts w:ascii="仿宋_GB2312" w:hAnsi="仿宋_GB2312" w:cs="仿宋_GB2312" w:eastAsia="仿宋_GB2312"/>
        </w:rPr>
        <w:t>7、具有履行合同所必需的设备和专业技术能力：提供具有履行合同所必需的设备和专业技术能力的承诺；</w:t>
      </w:r>
    </w:p>
    <w:p>
      <w:pPr>
        <w:pStyle w:val="null3"/>
      </w:pPr>
      <w:r>
        <w:rPr>
          <w:rFonts w:ascii="仿宋_GB2312" w:hAnsi="仿宋_GB2312" w:cs="仿宋_GB2312" w:eastAsia="仿宋_GB2312"/>
        </w:rPr>
        <w:t>8、参加政府采购活动前三年内，在经营活动中没有重大违法记录：提供参加政府采购活动前3年内在经营活动中没有重大违法记录的书面声明；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9、信用记录：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p>
      <w:pPr>
        <w:pStyle w:val="null3"/>
      </w:pPr>
      <w:r>
        <w:rPr>
          <w:rFonts w:ascii="仿宋_GB2312" w:hAnsi="仿宋_GB2312" w:cs="仿宋_GB2312" w:eastAsia="仿宋_GB2312"/>
        </w:rPr>
        <w:t>10、投标承诺：单位负责人为同一人或者存在直接控股、管理关系的不同供应商，不得参加同一合同项下的政府采购活动（提供控股管理关系清单）；</w:t>
      </w:r>
    </w:p>
    <w:p>
      <w:pPr>
        <w:pStyle w:val="null3"/>
      </w:pPr>
      <w:r>
        <w:rPr>
          <w:rFonts w:ascii="仿宋_GB2312" w:hAnsi="仿宋_GB2312" w:cs="仿宋_GB2312" w:eastAsia="仿宋_GB2312"/>
        </w:rPr>
        <w:t>11、非联合体磋商：提供非联合体磋商声明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华阴市财政投资评审中心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华阴市环城北路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0913-4625502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陕西正园工程项目管理有限公司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西安市曲江新区雁翔路旺座曲江L座1506室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钮依宁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029-89557177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华阴市政府采购管理股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开户名称：陕西正园工程项目管理有限公司</w:t>
            </w:r>
          </w:p>
          <w:p>
            <w:pPr>
              <w:pStyle w:val="null3"/>
            </w:pPr>
            <w:r>
              <w:rPr>
                <w:rFonts w:ascii="仿宋_GB2312" w:hAnsi="仿宋_GB2312" w:cs="仿宋_GB2312" w:eastAsia="仿宋_GB2312"/>
              </w:rPr>
              <w:t>开户银行：上海浦东发展银行股份有限公司西安金滹沱一路支行</w:t>
            </w:r>
          </w:p>
          <w:p>
            <w:pPr>
              <w:pStyle w:val="null3"/>
            </w:pPr>
            <w:r>
              <w:rPr>
                <w:rFonts w:ascii="仿宋_GB2312" w:hAnsi="仿宋_GB2312" w:cs="仿宋_GB2312" w:eastAsia="仿宋_GB2312"/>
              </w:rPr>
              <w:t>银行账号：72190078801000001349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采购项目代理服务费参照国家计委颁发的《招标代理服务收费管理暂行办法》(计价格[2002]1980号)和国家发展改革委员会办公厅颁发的《关于招标代理服务收费有关问题的通知》(发改办价格[2003]857号)及发改价格【2011】534的有关规定执行，由中标人向采购代理机构一次付清招标代理服务费。 代理费用由投标人自行考虑包含在投标报价中，费用可不单列。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华阴市财政投资评审中心</w:t>
      </w:r>
      <w:r>
        <w:rPr>
          <w:rFonts w:ascii="仿宋_GB2312" w:hAnsi="仿宋_GB2312" w:cs="仿宋_GB2312" w:eastAsia="仿宋_GB2312"/>
        </w:rPr>
        <w:t>和</w:t>
      </w:r>
      <w:r>
        <w:rPr>
          <w:rFonts w:ascii="仿宋_GB2312" w:hAnsi="仿宋_GB2312" w:cs="仿宋_GB2312" w:eastAsia="仿宋_GB2312"/>
        </w:rPr>
        <w:t>陕西正园工程项目管理有限公司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华阴市财政投资评审中心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陕西正园工程项目管理有限公司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华阴市财政投资评审中心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陕西正园工程项目管理有限公司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联系人：钮依宁</w:t>
      </w:r>
    </w:p>
    <w:p>
      <w:pPr>
        <w:pStyle w:val="null3"/>
      </w:pPr>
      <w:r>
        <w:rPr>
          <w:rFonts w:ascii="仿宋_GB2312" w:hAnsi="仿宋_GB2312" w:cs="仿宋_GB2312" w:eastAsia="仿宋_GB2312"/>
        </w:rPr>
        <w:t>联系电话：029-89557177</w:t>
      </w:r>
    </w:p>
    <w:p>
      <w:pPr>
        <w:pStyle w:val="null3"/>
      </w:pPr>
      <w:r>
        <w:rPr>
          <w:rFonts w:ascii="仿宋_GB2312" w:hAnsi="仿宋_GB2312" w:cs="仿宋_GB2312" w:eastAsia="仿宋_GB2312"/>
        </w:rPr>
        <w:t>地址：西安市曲江新区雁翔路旺座曲江L座1506室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对华阴市城区热网建设及智慧供热更新改造项目最高限价进行评审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华阴市城区热网建设及智慧供热更新改造项目最高限价评审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标的名称：华阴市城区热网建设及智慧供热更新改造项目最高限价评审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一、项目概况</w:t>
            </w:r>
          </w:p>
          <w:p>
            <w:pPr>
              <w:pStyle w:val="null3"/>
            </w:pPr>
            <w:r>
              <w:rPr>
                <w:rFonts w:ascii="仿宋_GB2312" w:hAnsi="仿宋_GB2312" w:cs="仿宋_GB2312" w:eastAsia="仿宋_GB2312"/>
                <w:sz w:val="18"/>
              </w:rPr>
              <w:t>对华阴市城区热网建设及智慧供热更新改造项目最高限价进行评审。</w:t>
            </w:r>
          </w:p>
          <w:p>
            <w:pPr>
              <w:pStyle w:val="null3"/>
            </w:pPr>
            <w:r>
              <w:rPr>
                <w:rFonts w:ascii="仿宋_GB2312" w:hAnsi="仿宋_GB2312" w:cs="仿宋_GB2312" w:eastAsia="仿宋_GB2312"/>
                <w:sz w:val="18"/>
              </w:rPr>
              <w:t>二、服务期</w:t>
            </w:r>
          </w:p>
          <w:p>
            <w:pPr>
              <w:pStyle w:val="null3"/>
            </w:pPr>
            <w:r>
              <w:rPr>
                <w:rFonts w:ascii="仿宋_GB2312" w:hAnsi="仿宋_GB2312" w:cs="仿宋_GB2312" w:eastAsia="仿宋_GB2312"/>
                <w:sz w:val="18"/>
              </w:rPr>
              <w:t>自合同签订之日起</w:t>
            </w:r>
            <w:r>
              <w:rPr>
                <w:rFonts w:ascii="仿宋_GB2312" w:hAnsi="仿宋_GB2312" w:cs="仿宋_GB2312" w:eastAsia="仿宋_GB2312"/>
                <w:sz w:val="18"/>
                <w:u w:val="single"/>
              </w:rPr>
              <w:t xml:space="preserve"> 15</w:t>
            </w:r>
            <w:r>
              <w:rPr>
                <w:rFonts w:ascii="仿宋_GB2312" w:hAnsi="仿宋_GB2312" w:cs="仿宋_GB2312" w:eastAsia="仿宋_GB2312"/>
                <w:sz w:val="18"/>
              </w:rPr>
              <w:t>日历天。</w:t>
            </w:r>
          </w:p>
          <w:p>
            <w:pPr>
              <w:pStyle w:val="null3"/>
            </w:pPr>
            <w:r>
              <w:rPr>
                <w:rFonts w:ascii="仿宋_GB2312" w:hAnsi="仿宋_GB2312" w:cs="仿宋_GB2312" w:eastAsia="仿宋_GB2312"/>
                <w:sz w:val="18"/>
              </w:rPr>
              <w:t>三、服务要求：</w:t>
            </w:r>
          </w:p>
          <w:p>
            <w:pPr>
              <w:pStyle w:val="null3"/>
            </w:pPr>
            <w:r>
              <w:rPr>
                <w:rFonts w:ascii="仿宋_GB2312" w:hAnsi="仿宋_GB2312" w:cs="仿宋_GB2312" w:eastAsia="仿宋_GB2312"/>
                <w:sz w:val="18"/>
              </w:rPr>
              <w:t>(</w:t>
            </w:r>
            <w:r>
              <w:rPr>
                <w:rFonts w:ascii="仿宋_GB2312" w:hAnsi="仿宋_GB2312" w:cs="仿宋_GB2312" w:eastAsia="仿宋_GB2312"/>
                <w:sz w:val="18"/>
              </w:rPr>
              <w:t>一</w:t>
            </w:r>
            <w:r>
              <w:rPr>
                <w:rFonts w:ascii="仿宋_GB2312" w:hAnsi="仿宋_GB2312" w:cs="仿宋_GB2312" w:eastAsia="仿宋_GB2312"/>
                <w:sz w:val="18"/>
              </w:rPr>
              <w:t>)</w:t>
            </w:r>
            <w:r>
              <w:rPr>
                <w:rFonts w:ascii="仿宋_GB2312" w:hAnsi="仿宋_GB2312" w:cs="仿宋_GB2312" w:eastAsia="仿宋_GB2312"/>
                <w:sz w:val="18"/>
              </w:rPr>
              <w:t>人员配置</w:t>
            </w:r>
            <w:r>
              <w:rPr>
                <w:rFonts w:ascii="仿宋_GB2312" w:hAnsi="仿宋_GB2312" w:cs="仿宋_GB2312" w:eastAsia="仿宋_GB2312"/>
                <w:sz w:val="18"/>
              </w:rPr>
              <w:t>:</w:t>
            </w:r>
            <w:r>
              <w:rPr>
                <w:rFonts w:ascii="仿宋_GB2312" w:hAnsi="仿宋_GB2312" w:cs="仿宋_GB2312" w:eastAsia="仿宋_GB2312"/>
                <w:sz w:val="18"/>
              </w:rPr>
              <w:t>供应商须提供针对本项目的详细人员配备情况。要求拟派项目成员具备相关专业人员具有造价工程师执业资格，专业搭配合理、岗位分工明确、职责清晰，包括人员配备情 况及水平、人员安排、专业配置、从业经历、参与工作经验等方面</w:t>
            </w:r>
            <w:r>
              <w:rPr>
                <w:rFonts w:ascii="仿宋_GB2312" w:hAnsi="仿宋_GB2312" w:cs="仿宋_GB2312" w:eastAsia="仿宋_GB2312"/>
                <w:sz w:val="18"/>
              </w:rPr>
              <w:t>,</w:t>
            </w:r>
            <w:r>
              <w:rPr>
                <w:rFonts w:ascii="仿宋_GB2312" w:hAnsi="仿宋_GB2312" w:cs="仿宋_GB2312" w:eastAsia="仿宋_GB2312"/>
                <w:sz w:val="18"/>
              </w:rPr>
              <w:t>均应满足本项目采购需求。</w:t>
            </w:r>
          </w:p>
          <w:p>
            <w:pPr>
              <w:pStyle w:val="null3"/>
            </w:pPr>
            <w:r>
              <w:rPr>
                <w:rFonts w:ascii="仿宋_GB2312" w:hAnsi="仿宋_GB2312" w:cs="仿宋_GB2312" w:eastAsia="仿宋_GB2312"/>
                <w:sz w:val="18"/>
              </w:rPr>
              <w:t>(</w:t>
            </w:r>
            <w:r>
              <w:rPr>
                <w:rFonts w:ascii="仿宋_GB2312" w:hAnsi="仿宋_GB2312" w:cs="仿宋_GB2312" w:eastAsia="仿宋_GB2312"/>
                <w:sz w:val="18"/>
              </w:rPr>
              <w:t>二</w:t>
            </w:r>
            <w:r>
              <w:rPr>
                <w:rFonts w:ascii="仿宋_GB2312" w:hAnsi="仿宋_GB2312" w:cs="仿宋_GB2312" w:eastAsia="仿宋_GB2312"/>
                <w:sz w:val="18"/>
              </w:rPr>
              <w:t>)</w:t>
            </w:r>
            <w:r>
              <w:rPr>
                <w:rFonts w:ascii="仿宋_GB2312" w:hAnsi="仿宋_GB2312" w:cs="仿宋_GB2312" w:eastAsia="仿宋_GB2312"/>
                <w:sz w:val="18"/>
              </w:rPr>
              <w:t>服务标准</w:t>
            </w:r>
            <w:r>
              <w:rPr>
                <w:rFonts w:ascii="仿宋_GB2312" w:hAnsi="仿宋_GB2312" w:cs="仿宋_GB2312" w:eastAsia="仿宋_GB2312"/>
                <w:sz w:val="18"/>
              </w:rPr>
              <w:t>:</w:t>
            </w:r>
            <w:r>
              <w:rPr>
                <w:rFonts w:ascii="仿宋_GB2312" w:hAnsi="仿宋_GB2312" w:cs="仿宋_GB2312" w:eastAsia="仿宋_GB2312"/>
                <w:sz w:val="18"/>
              </w:rPr>
              <w:t>合格，应符合国家相关技术标准和陕西省具体要求。</w:t>
            </w:r>
          </w:p>
          <w:p>
            <w:pPr>
              <w:pStyle w:val="null3"/>
            </w:pPr>
            <w:r>
              <w:rPr>
                <w:rFonts w:ascii="仿宋_GB2312" w:hAnsi="仿宋_GB2312" w:cs="仿宋_GB2312" w:eastAsia="仿宋_GB2312"/>
                <w:sz w:val="18"/>
              </w:rPr>
              <w:t>（三）成果交付要求：</w:t>
            </w:r>
          </w:p>
          <w:p>
            <w:pPr>
              <w:pStyle w:val="null3"/>
            </w:pPr>
            <w:r>
              <w:rPr>
                <w:rFonts w:ascii="仿宋_GB2312" w:hAnsi="仿宋_GB2312" w:cs="仿宋_GB2312" w:eastAsia="仿宋_GB2312"/>
                <w:sz w:val="18"/>
              </w:rPr>
              <w:t>1</w:t>
            </w:r>
            <w:r>
              <w:rPr>
                <w:rFonts w:ascii="仿宋_GB2312" w:hAnsi="仿宋_GB2312" w:cs="仿宋_GB2312" w:eastAsia="仿宋_GB2312"/>
                <w:sz w:val="18"/>
              </w:rPr>
              <w:t>、提供最高限价审核最终版印章齐全的纸质版成果文件</w:t>
            </w:r>
            <w:r>
              <w:rPr>
                <w:rFonts w:ascii="仿宋_GB2312" w:hAnsi="仿宋_GB2312" w:cs="仿宋_GB2312" w:eastAsia="仿宋_GB2312"/>
                <w:sz w:val="18"/>
              </w:rPr>
              <w:t>5</w:t>
            </w:r>
            <w:r>
              <w:rPr>
                <w:rFonts w:ascii="仿宋_GB2312" w:hAnsi="仿宋_GB2312" w:cs="仿宋_GB2312" w:eastAsia="仿宋_GB2312"/>
                <w:sz w:val="18"/>
              </w:rPr>
              <w:t>份</w:t>
            </w:r>
            <w:r>
              <w:rPr>
                <w:rFonts w:ascii="仿宋_GB2312" w:hAnsi="仿宋_GB2312" w:cs="仿宋_GB2312" w:eastAsia="仿宋_GB2312"/>
                <w:sz w:val="18"/>
              </w:rPr>
              <w:t>;</w:t>
            </w:r>
          </w:p>
          <w:p>
            <w:pPr>
              <w:pStyle w:val="null3"/>
            </w:pPr>
            <w:r>
              <w:rPr>
                <w:rFonts w:ascii="仿宋_GB2312" w:hAnsi="仿宋_GB2312" w:cs="仿宋_GB2312" w:eastAsia="仿宋_GB2312"/>
                <w:sz w:val="18"/>
              </w:rPr>
              <w:t>2</w:t>
            </w:r>
            <w:r>
              <w:rPr>
                <w:rFonts w:ascii="仿宋_GB2312" w:hAnsi="仿宋_GB2312" w:cs="仿宋_GB2312" w:eastAsia="仿宋_GB2312"/>
                <w:sz w:val="18"/>
              </w:rPr>
              <w:t>、最高限价审核最终版广联达格式文件;</w:t>
            </w:r>
          </w:p>
          <w:p>
            <w:pPr>
              <w:pStyle w:val="null3"/>
            </w:pPr>
            <w:r>
              <w:rPr>
                <w:rFonts w:ascii="仿宋_GB2312" w:hAnsi="仿宋_GB2312" w:cs="仿宋_GB2312" w:eastAsia="仿宋_GB2312"/>
                <w:sz w:val="18"/>
              </w:rPr>
              <w:t>四、付款计划</w:t>
            </w:r>
            <w:r>
              <w:rPr>
                <w:rFonts w:ascii="仿宋_GB2312" w:hAnsi="仿宋_GB2312" w:cs="仿宋_GB2312" w:eastAsia="仿宋_GB2312"/>
                <w:sz w:val="21"/>
              </w:rPr>
              <w:t>：</w:t>
            </w:r>
            <w:r>
              <w:rPr>
                <w:rFonts w:ascii="仿宋_GB2312" w:hAnsi="仿宋_GB2312" w:cs="仿宋_GB2312" w:eastAsia="仿宋_GB2312"/>
                <w:sz w:val="18"/>
              </w:rPr>
              <w:t>乙方向甲方正式成果移交后30日，甲方向乙方支付全部合同金额。</w:t>
            </w:r>
          </w:p>
          <w:p>
            <w:pPr>
              <w:pStyle w:val="null3"/>
            </w:pPr>
            <w:r>
              <w:rPr>
                <w:rFonts w:ascii="仿宋_GB2312" w:hAnsi="仿宋_GB2312" w:cs="仿宋_GB2312" w:eastAsia="仿宋_GB2312"/>
                <w:sz w:val="18"/>
              </w:rPr>
              <w:t>五、报价要求： 按照《陕西省住房和城乡建设厅关于我省工程造价咨询服务收费标准有关问题的通知</w:t>
            </w:r>
            <w:r>
              <w:rPr>
                <w:rFonts w:ascii="仿宋_GB2312" w:hAnsi="仿宋_GB2312" w:cs="仿宋_GB2312" w:eastAsia="仿宋_GB2312"/>
                <w:sz w:val="18"/>
              </w:rPr>
              <w:t>--</w:t>
            </w:r>
            <w:r>
              <w:rPr>
                <w:rFonts w:ascii="仿宋_GB2312" w:hAnsi="仿宋_GB2312" w:cs="仿宋_GB2312" w:eastAsia="仿宋_GB2312"/>
                <w:sz w:val="18"/>
              </w:rPr>
              <w:t>陕价行发【</w:t>
            </w:r>
            <w:r>
              <w:rPr>
                <w:rFonts w:ascii="仿宋_GB2312" w:hAnsi="仿宋_GB2312" w:cs="仿宋_GB2312" w:eastAsia="仿宋_GB2312"/>
                <w:sz w:val="18"/>
              </w:rPr>
              <w:t>2014</w:t>
            </w:r>
            <w:r>
              <w:rPr>
                <w:rFonts w:ascii="仿宋_GB2312" w:hAnsi="仿宋_GB2312" w:cs="仿宋_GB2312" w:eastAsia="仿宋_GB2312"/>
                <w:sz w:val="18"/>
              </w:rPr>
              <w:t>】</w:t>
            </w:r>
            <w:r>
              <w:rPr>
                <w:rFonts w:ascii="仿宋_GB2312" w:hAnsi="仿宋_GB2312" w:cs="仿宋_GB2312" w:eastAsia="仿宋_GB2312"/>
                <w:sz w:val="18"/>
              </w:rPr>
              <w:t xml:space="preserve">88 </w:t>
            </w:r>
            <w:r>
              <w:rPr>
                <w:rFonts w:ascii="仿宋_GB2312" w:hAnsi="仿宋_GB2312" w:cs="仿宋_GB2312" w:eastAsia="仿宋_GB2312"/>
                <w:sz w:val="18"/>
              </w:rPr>
              <w:t>号》基本收费标准</w:t>
            </w:r>
            <w:r>
              <w:rPr>
                <w:rFonts w:ascii="仿宋_GB2312" w:hAnsi="仿宋_GB2312" w:cs="仿宋_GB2312" w:eastAsia="仿宋_GB2312"/>
                <w:sz w:val="18"/>
              </w:rPr>
              <w:t>×下浮率</w:t>
            </w:r>
            <w:r>
              <w:rPr>
                <w:rFonts w:ascii="仿宋_GB2312" w:hAnsi="仿宋_GB2312" w:cs="仿宋_GB2312" w:eastAsia="仿宋_GB2312"/>
                <w:sz w:val="18"/>
                <w:u w:val="single"/>
              </w:rPr>
              <w:t xml:space="preserve">      </w:t>
            </w:r>
            <w:r>
              <w:rPr>
                <w:rFonts w:ascii="仿宋_GB2312" w:hAnsi="仿宋_GB2312" w:cs="仿宋_GB2312" w:eastAsia="仿宋_GB2312"/>
                <w:sz w:val="18"/>
              </w:rPr>
              <w:t>%。</w:t>
            </w:r>
            <w:r>
              <w:rPr>
                <w:rFonts w:ascii="仿宋_GB2312" w:hAnsi="仿宋_GB2312" w:cs="仿宋_GB2312" w:eastAsia="仿宋_GB2312"/>
                <w:sz w:val="18"/>
              </w:rPr>
              <w:t>据实结算，结算价格最高不超过</w:t>
            </w:r>
            <w:r>
              <w:rPr>
                <w:rFonts w:ascii="仿宋_GB2312" w:hAnsi="仿宋_GB2312" w:cs="仿宋_GB2312" w:eastAsia="仿宋_GB2312"/>
                <w:sz w:val="18"/>
              </w:rPr>
              <w:t>100</w:t>
            </w:r>
            <w:r>
              <w:rPr>
                <w:rFonts w:ascii="仿宋_GB2312" w:hAnsi="仿宋_GB2312" w:cs="仿宋_GB2312" w:eastAsia="仿宋_GB2312"/>
                <w:sz w:val="18"/>
              </w:rPr>
              <w:t>万元。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人员配备合理。有针对本项目的专项项目小组，工作人员分工明确(应有具体成员名单，包括姓名、工作职责等)。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具有履行合同所必需的设备和专业技术能力的说明。</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按国家或行业相关标准执行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乙方向甲方正式成果移交后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所报价格应考虑到可能发生的所有与完成本项目有关的一切费用。磋商报价是供应商为完成本次磋商所要求的服务且验收合格的所有费用，包括但不限于投标人完成本项目所需的人工费、材料费、设备费、管理费、验收费、利润和税金等所产生的全部费用。任何有选择的报价将不予接受，按无效磋商处理。（二）由供应商自行承担因现场踏勘而产生的费用及安全。（三）本项目所属行业为：其他未列明行业。根据《工业和信息化部、国家统计局、国家发展和改革委员会、财政部关于印发中小企业划型标准规定的通知》《工信部联企业(2011)300 号)规定的划分标准，从业人员300人以下的为中小微企业。其中，从业人员100人及以上的为中型企业；从业人员10人及以上的为小型企业；从业人员10人及以下的为微型企业。（四）、成交供应商在领取成交通知书前，需向采购代理机构提交纸质版响应文件二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供应商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提供合法有效的统一社会信用代码营业执照，自然人提供身份证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及被授权人开标前六个月内任意连续三个月在本单位的社保缴纳证明（法定代表人参加磋商只须提供法定代表人身份证及法人社保缴纳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拟派项目负责人须具备一级注册造价工程师执业资格，在本单位注册</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单位负责人为同一人或者存在直接控股、管理关系的不同供应商，不得参加同一合同项下的政府采购活动（提供控股管理关系清单）；</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响应文件签字盖章齐全</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承诺书.docx 报价表 资格证明资料.docx 响应文件封面 主要人员简历表.docx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响应全部实质性要求，未附加采购人难以接受的条件</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满足采购文件中的规定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一、评审内容：包括但不限于（1）工作目标；（2）工作范围；（3）审查内容； （4）工作进度安排；（5）应急响应。 二、评审标准：1.针对性：符合本项目实际情况，专业性强、内容科学合理；2.完整性：内容完整详细，条理清晰；3.可实施性：安排及措施可实施性强。 三、赋分标准（30分）： 按照供应商编制内容每项完全满足一个评审标准得2分，满分6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一、评审内容:（1）质量控制标准；（2）质量控制措施； 二、评审标准：1.针对性：符合本项目实际情况，专业性强、内容科学合理；2.完整性：内容完整详细，条理清晰；3.可实施性：安排及措施可实施性强。 三、赋分标准（12分）：按照供应商编制内容每项完全满足一个评审标准得2分，满分6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一、评审内容：（1）内控措施；（2）内控流程； 二、评审标准： 1.针对性：符合本项目实际情况，专业性强、内容科学合理；2.完整性：内容完整详细，条理清晰；3.可实施性：安排及措施可实施性强。 三、赋分标准（12分）：按照供应商编制内容每项完全满足一个评审标准得2分，满分6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一、评审内容：（1）内控措施；（2）内控流程； 二、评审标准： 1.针对性：符合本项目实际情况，专业性强、内容科学合理；2.完整性：内容完整详细，条理清晰；3.可实施性：安排及措施可实施性强。 三、赋分标准（12分）：按照供应商编制内容每项完全满足一个评审标准得2分，满分6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一、评审内容：（1）保密措施；（2）保密制度； 二、评审标准： （1）针对性：能够紧扣项目实际情况，专业性强、内容科学合理； （2）可实施性：切合本项目实际情况，步骤明确、可操作性强。 三、赋分标准（4分）：按照供应商编制内容每项完全满足一个评审标准得2分，满分4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1.担任过工程类造价咨询项目的负责人。每提供1项业绩得2分，最高得4分。(备注：造价咨询合同或审核报告须显示项目负责人姓名，否则视为无效合同)。 2.项目负责人同时具有工程师职称证书的得1分，具有高级工程师职称的得2分。（注：提供人员身份证、相关证书和社保缴纳等证明材料复印件，否则无效。）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项目组织管理及人员安排</w:t>
            </w:r>
          </w:p>
        </w:tc>
        <w:tc>
          <w:tcPr>
            <w:tcW w:type="dxa" w:w="2492"/>
          </w:tcPr>
          <w:p>
            <w:pPr>
              <w:pStyle w:val="null3"/>
            </w:pPr>
            <w:r>
              <w:rPr>
                <w:rFonts w:ascii="仿宋_GB2312" w:hAnsi="仿宋_GB2312" w:cs="仿宋_GB2312" w:eastAsia="仿宋_GB2312"/>
              </w:rPr>
              <w:t>拟投入项目组成员(不包括项目负责人)人数不少于3人，所有人员需具备注册一级造价师资格并在本单位注册，满足基本要求的得3分，不满足基本要求的得0分。比基本要求每增加投入1名符合要求的人员，加1分，最高加3分，本项满分6分。 （注：提供人员身份证、相关证书和社保缴纳等证明材料复印件，否则无效。） 所有项目组成员均需在磋商响应文件中提供注册证书加盖供应商公章的复印件，并在响应文件中提供“如后期项目实施中采购人发现实际配备人员（资格证书注册信息）与响应文件不一致的情况，愿意接受采购人处罚”的书面承诺。未提供承诺，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供应商具有近三年（2022年9月至今）的类似项目业绩（以合同签订时间为准）每个计2分，最多计8分。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