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版本号：SXZYXM2025-6020251226001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渭南市华阴市2025年3万亩高标准农田新建项目（农田地力提升及科技配套）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SXZYXM2025-60</w:t>
      </w:r>
      <w:r>
        <w:br/>
      </w:r>
      <w:r>
        <w:br/>
      </w:r>
      <w:r>
        <w:br/>
      </w:r>
    </w:p>
    <w:p>
      <w:pPr>
        <w:pStyle w:val="null3"/>
        <w:jc w:val="center"/>
        <w:outlineLvl w:val="2"/>
      </w:pPr>
      <w:r>
        <w:rPr>
          <w:rFonts w:ascii="仿宋_GB2312" w:hAnsi="仿宋_GB2312" w:cs="仿宋_GB2312" w:eastAsia="仿宋_GB2312"/>
          <w:sz w:val="28"/>
          <w:b/>
        </w:rPr>
        <w:t>华阴市农业农村局</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华阴市农业农村局</w:t>
      </w:r>
      <w:r>
        <w:rPr>
          <w:rFonts w:ascii="仿宋_GB2312" w:hAnsi="仿宋_GB2312" w:cs="仿宋_GB2312" w:eastAsia="仿宋_GB2312"/>
        </w:rPr>
        <w:t>委托，拟对</w:t>
      </w:r>
      <w:r>
        <w:rPr>
          <w:rFonts w:ascii="仿宋_GB2312" w:hAnsi="仿宋_GB2312" w:cs="仿宋_GB2312" w:eastAsia="仿宋_GB2312"/>
        </w:rPr>
        <w:t>渭南市华阴市2025年3万亩高标准农田新建项目（农田地力提升及科技配套）</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SXZYXM2025-60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渭南市华阴市2025年3万亩高标准农田新建项目（农田地力提升及科技配套）</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合同包1（农田地力提升）：采购农田地力提升面积30000亩，深翻30cm，施加生物有机肥7200t（240kg/亩）； 合同包2（农业科技配套及应用）：配套物联网智能化系统1套，卷盘式喷灌机23台；水肥一体机13台。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采购包1（农田地力提升）：属于专门面向中小企业采购。</w:t>
      </w:r>
    </w:p>
    <w:p>
      <w:pPr>
        <w:pStyle w:val="null3"/>
      </w:pPr>
      <w:r>
        <w:rPr>
          <w:rFonts w:ascii="仿宋_GB2312" w:hAnsi="仿宋_GB2312" w:cs="仿宋_GB2312" w:eastAsia="仿宋_GB2312"/>
        </w:rPr>
        <w:t>采购包2（农业科技配套及应用）：属于专门面向中小企业采购。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p>
      <w:pPr>
        <w:pStyle w:val="null3"/>
      </w:pPr>
      <w:r>
        <w:rPr>
          <w:rFonts w:ascii="仿宋_GB2312" w:hAnsi="仿宋_GB2312" w:cs="仿宋_GB2312" w:eastAsia="仿宋_GB2312"/>
        </w:rPr>
        <w:t>3、税收缴纳证明：提供递交截止时间前6个月内任意一个月的缴费凭据，依法免税的单位应提供相关证明材料；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5、具有履行合同所必需的设备和专业技术能力：具有履行合同所必需的设备和专业技术能力，提供承诺书；</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人授权合法的人员参加投标全过程：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p>
      <w:pPr>
        <w:pStyle w:val="null3"/>
      </w:pPr>
      <w:r>
        <w:rPr>
          <w:rFonts w:ascii="仿宋_GB2312" w:hAnsi="仿宋_GB2312" w:cs="仿宋_GB2312" w:eastAsia="仿宋_GB2312"/>
        </w:rPr>
        <w:t>8、资格要求：投标人为生产厂家的须提供肥料登记证，投标人为代理商的须提供生产厂家的肥料登记证。</w:t>
      </w:r>
    </w:p>
    <w:p>
      <w:pPr>
        <w:pStyle w:val="null3"/>
      </w:pPr>
      <w:r>
        <w:rPr>
          <w:rFonts w:ascii="仿宋_GB2312" w:hAnsi="仿宋_GB2312" w:cs="仿宋_GB2312" w:eastAsia="仿宋_GB2312"/>
        </w:rPr>
        <w:t>9、信用记录：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10、投标承诺：单位负责人为同一人或者存在直接控股、管理关系的不同投标人，不得参加同一合同项下的政府采购活动（提供控股管理关系清单）</w:t>
      </w:r>
    </w:p>
    <w:p>
      <w:pPr>
        <w:pStyle w:val="null3"/>
      </w:pPr>
      <w:r>
        <w:rPr>
          <w:rFonts w:ascii="仿宋_GB2312" w:hAnsi="仿宋_GB2312" w:cs="仿宋_GB2312" w:eastAsia="仿宋_GB2312"/>
        </w:rPr>
        <w:t>11、非联合体投标：提供非联合体投标声明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1、营业执照等主体资格证明文件：投标人应具有独立承担民事责任的能力且具备向采购人提供企业法人、其他组织,企业法人应提供统一社会信用代码的营业执照；其他组织应提供合法证明文件；</w:t>
      </w:r>
    </w:p>
    <w:p>
      <w:pPr>
        <w:pStyle w:val="null3"/>
      </w:pPr>
      <w:r>
        <w:rPr>
          <w:rFonts w:ascii="仿宋_GB2312" w:hAnsi="仿宋_GB2312" w:cs="仿宋_GB2312" w:eastAsia="仿宋_GB2312"/>
        </w:rPr>
        <w:t>2、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p>
      <w:pPr>
        <w:pStyle w:val="null3"/>
      </w:pPr>
      <w:r>
        <w:rPr>
          <w:rFonts w:ascii="仿宋_GB2312" w:hAnsi="仿宋_GB2312" w:cs="仿宋_GB2312" w:eastAsia="仿宋_GB2312"/>
        </w:rPr>
        <w:t>3、税收缴纳证明：提供递交截止时间前6个月内任意一个月的缴费凭据，依法免税的单位应提供相关证明材料；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5、具有履行合同所必需的设备和专业技术能力：具有履行合同所必需的设备和专业技术能力，提供承诺书。</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人授权合法的人员参加投标全过程：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p>
      <w:pPr>
        <w:pStyle w:val="null3"/>
      </w:pPr>
      <w:r>
        <w:rPr>
          <w:rFonts w:ascii="仿宋_GB2312" w:hAnsi="仿宋_GB2312" w:cs="仿宋_GB2312" w:eastAsia="仿宋_GB2312"/>
        </w:rPr>
        <w:t>8、信用记录：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9、投标承诺：单位负责人为同一人或者存在直接控股、管理关系的不同投标人，不得参加同一合同项下的政府采购活动（提供控股管理关系清单）</w:t>
      </w:r>
    </w:p>
    <w:p>
      <w:pPr>
        <w:pStyle w:val="null3"/>
      </w:pPr>
      <w:r>
        <w:rPr>
          <w:rFonts w:ascii="仿宋_GB2312" w:hAnsi="仿宋_GB2312" w:cs="仿宋_GB2312" w:eastAsia="仿宋_GB2312"/>
        </w:rPr>
        <w:t>10、非联合体投标：提供非联合体投标声明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华阴市农业局经办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0913-4612433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西安市曲江新区雁翔路旺座曲江L座15层1506室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华阴市政府采购管理股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采购包1：11,649,238.86元</w:t>
            </w:r>
          </w:p>
          <w:p>
            <w:pPr>
              <w:pStyle w:val="null3"/>
            </w:pPr>
            <w:r>
              <w:rPr>
                <w:rFonts w:ascii="仿宋_GB2312" w:hAnsi="仿宋_GB2312" w:cs="仿宋_GB2312" w:eastAsia="仿宋_GB2312"/>
              </w:rPr>
              <w:t>采购包2：3,425,149.26元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开户名称：陕西正园工程项目管理有限公司</w:t>
            </w:r>
          </w:p>
          <w:p>
            <w:pPr>
              <w:pStyle w:val="null3"/>
            </w:pPr>
            <w:r>
              <w:rPr>
                <w:rFonts w:ascii="仿宋_GB2312" w:hAnsi="仿宋_GB2312" w:cs="仿宋_GB2312" w:eastAsia="仿宋_GB2312"/>
              </w:rPr>
              <w:t>开户银行：上海浦东发展银行股份有限公司西安金滹沱一路支行</w:t>
            </w:r>
          </w:p>
          <w:p>
            <w:pPr>
              <w:pStyle w:val="null3"/>
            </w:pPr>
            <w:r>
              <w:rPr>
                <w:rFonts w:ascii="仿宋_GB2312" w:hAnsi="仿宋_GB2312" w:cs="仿宋_GB2312" w:eastAsia="仿宋_GB2312"/>
              </w:rPr>
              <w:t>银行账号：72190078801000001349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说明：合同签订之前,按照招标文件的要求提交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本采购包履约保证金为合同金额的2%</w:t>
            </w:r>
          </w:p>
          <w:p>
            <w:pPr>
              <w:pStyle w:val="null3"/>
            </w:pPr>
            <w:r>
              <w:rPr>
                <w:rFonts w:ascii="仿宋_GB2312" w:hAnsi="仿宋_GB2312" w:cs="仿宋_GB2312" w:eastAsia="仿宋_GB2312"/>
              </w:rPr>
              <w:t>说明：合同签订之前,按照招标文件的要求提交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代理服务费收费标准：本采购项目代理服务费参照国家计委颁发的《招标代理服务收费管理暂行办法》(计价格[2002]1980号)规定，由中标人向采购代理机构一次付清招标代理服务费。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华阴市农业农村局</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国家或行业相关规范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国家或行业相关规范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地址：西安市曲江新区雁翔路旺座曲江L座15层1506室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合同包1主要内容包括：采购生物有机肥7200t，深翻30cm，施加生物有机肥240kg/亩。 合同包2主要内容包括：配套物联网智能化系统1套，卷盘式喷灌机23台；水肥一体机13台。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11,649,238.86</w:t>
      </w:r>
    </w:p>
    <w:p>
      <w:pPr>
        <w:pStyle w:val="null3"/>
      </w:pPr>
      <w:r>
        <w:rPr>
          <w:rFonts w:ascii="仿宋_GB2312" w:hAnsi="仿宋_GB2312" w:cs="仿宋_GB2312" w:eastAsia="仿宋_GB2312"/>
        </w:rPr>
        <w:t>采购包最高限价（元）: 11,649,238.86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农田地力提升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11,649,238.86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3,425,149.26</w:t>
      </w:r>
    </w:p>
    <w:p>
      <w:pPr>
        <w:pStyle w:val="null3"/>
      </w:pPr>
      <w:r>
        <w:rPr>
          <w:rFonts w:ascii="仿宋_GB2312" w:hAnsi="仿宋_GB2312" w:cs="仿宋_GB2312" w:eastAsia="仿宋_GB2312"/>
        </w:rPr>
        <w:t>采购包最高限价（元）: 3,425,149.26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农业科技配套及应用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3,425,149.26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标的名称：农田地力提升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一、采购清单</w:t>
            </w:r>
          </w:p>
          <w:p>
            <w:pPr>
              <w:pStyle w:val="null3"/>
              <w:jc w:val="both"/>
            </w:pPr>
            <w:r>
              <w:rPr>
                <w:rFonts w:ascii="仿宋_GB2312" w:hAnsi="仿宋_GB2312" w:cs="仿宋_GB2312" w:eastAsia="仿宋_GB2312"/>
                <w:sz w:val="27"/>
              </w:rPr>
              <w:t>采购清单见附件</w:t>
            </w:r>
          </w:p>
          <w:p>
            <w:pPr>
              <w:pStyle w:val="null3"/>
            </w:pPr>
            <w:r>
              <w:rPr>
                <w:rFonts w:ascii="仿宋_GB2312" w:hAnsi="仿宋_GB2312" w:cs="仿宋_GB2312" w:eastAsia="仿宋_GB2312"/>
                <w:sz w:val="28"/>
                <w:b/>
              </w:rPr>
              <w:t>二、建设标准</w:t>
            </w:r>
          </w:p>
          <w:p>
            <w:pPr>
              <w:pStyle w:val="null3"/>
              <w:ind w:firstLine="480"/>
              <w:jc w:val="both"/>
            </w:pPr>
            <w:r>
              <w:rPr>
                <w:rFonts w:ascii="仿宋_GB2312" w:hAnsi="仿宋_GB2312" w:cs="仿宋_GB2312" w:eastAsia="仿宋_GB2312"/>
                <w:sz w:val="24"/>
              </w:rPr>
              <w:t>高标准农田应实施土壤有机质提升和科学施肥等技术措施，耕作层土壤养分常规指标应达到当地平均以上水平，本项目主要深翻并施加生物有机肥，应符合《生物有机肥》（</w:t>
            </w:r>
            <w:r>
              <w:rPr>
                <w:rFonts w:ascii="仿宋_GB2312" w:hAnsi="仿宋_GB2312" w:cs="仿宋_GB2312" w:eastAsia="仿宋_GB2312"/>
                <w:sz w:val="24"/>
              </w:rPr>
              <w:t>NY884-2012）的要求。</w:t>
            </w:r>
          </w:p>
          <w:p>
            <w:pPr>
              <w:pStyle w:val="null3"/>
              <w:ind w:firstLine="480"/>
              <w:jc w:val="both"/>
            </w:pPr>
            <w:r>
              <w:rPr>
                <w:rFonts w:ascii="仿宋_GB2312" w:hAnsi="仿宋_GB2312" w:cs="仿宋_GB2312" w:eastAsia="仿宋_GB2312"/>
                <w:sz w:val="28"/>
                <w:b/>
              </w:rPr>
              <w:t>三、技术参数</w:t>
            </w:r>
          </w:p>
          <w:p>
            <w:pPr>
              <w:pStyle w:val="null3"/>
              <w:jc w:val="left"/>
            </w:pPr>
            <w:r>
              <w:rPr>
                <w:rFonts w:ascii="仿宋_GB2312" w:hAnsi="仿宋_GB2312" w:cs="仿宋_GB2312" w:eastAsia="仿宋_GB2312"/>
                <w:sz w:val="24"/>
              </w:rPr>
              <w:t>1.肥料技术要求：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1执行标准：生物有机肥（NY884-2012）</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2技术指标：</w:t>
            </w:r>
          </w:p>
          <w:p>
            <w:pPr>
              <w:pStyle w:val="null3"/>
              <w:ind w:firstLine="240"/>
              <w:jc w:val="center"/>
            </w:pPr>
            <w:r>
              <w:rPr>
                <w:rFonts w:ascii="仿宋_GB2312" w:hAnsi="仿宋_GB2312" w:cs="仿宋_GB2312" w:eastAsia="仿宋_GB2312"/>
                <w:sz w:val="24"/>
              </w:rPr>
              <w:t>生物有机肥指标表</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有效活菌数（</w:t>
                  </w:r>
                  <w:r>
                    <w:rPr>
                      <w:rFonts w:ascii="仿宋_GB2312" w:hAnsi="仿宋_GB2312" w:cs="仿宋_GB2312" w:eastAsia="仿宋_GB2312"/>
                      <w:sz w:val="24"/>
                    </w:rPr>
                    <w:t>cfu</w:t>
                  </w:r>
                  <w:r>
                    <w:rPr>
                      <w:rFonts w:ascii="仿宋_GB2312" w:hAnsi="仿宋_GB2312" w:cs="仿宋_GB2312" w:eastAsia="仿宋_GB2312"/>
                      <w:sz w:val="24"/>
                    </w:rPr>
                    <w:t>），亿</w:t>
                  </w:r>
                  <w:r>
                    <w:rPr>
                      <w:rFonts w:ascii="仿宋_GB2312" w:hAnsi="仿宋_GB2312" w:cs="仿宋_GB2312" w:eastAsia="仿宋_GB2312"/>
                      <w:sz w:val="24"/>
                    </w:rPr>
                    <w:t>/g</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0.20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有机质</w:t>
                  </w:r>
                  <w:r>
                    <w:rPr>
                      <w:rFonts w:ascii="仿宋_GB2312" w:hAnsi="仿宋_GB2312" w:cs="仿宋_GB2312" w:eastAsia="仿宋_GB2312"/>
                      <w:sz w:val="24"/>
                    </w:rPr>
                    <w:t>(</w:t>
                  </w:r>
                  <w:r>
                    <w:rPr>
                      <w:rFonts w:ascii="仿宋_GB2312" w:hAnsi="仿宋_GB2312" w:cs="仿宋_GB2312" w:eastAsia="仿宋_GB2312"/>
                      <w:sz w:val="24"/>
                    </w:rPr>
                    <w:t>以干基计</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40.0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水分，</w:t>
                  </w:r>
                  <w:r>
                    <w:rPr>
                      <w:rFonts w:ascii="仿宋_GB2312" w:hAnsi="仿宋_GB2312" w:cs="仿宋_GB2312" w:eastAsia="仿宋_GB2312"/>
                      <w:sz w:val="24"/>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30.0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5.5~8.5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粪大肠菌群数，个</w:t>
                  </w:r>
                  <w:r>
                    <w:rPr>
                      <w:rFonts w:ascii="仿宋_GB2312" w:hAnsi="仿宋_GB2312" w:cs="仿宋_GB2312" w:eastAsia="仿宋_GB2312"/>
                      <w:sz w:val="24"/>
                    </w:rPr>
                    <w:t>/g</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100</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蛔虫卵死亡率，</w:t>
                  </w:r>
                  <w:r>
                    <w:rPr>
                      <w:rFonts w:ascii="仿宋_GB2312" w:hAnsi="仿宋_GB2312" w:cs="仿宋_GB2312" w:eastAsia="仿宋_GB2312"/>
                      <w:sz w:val="24"/>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95</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有效期，月</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6</w:t>
                  </w:r>
                </w:p>
              </w:tc>
            </w:tr>
          </w:tbl>
          <w:p>
            <w:pPr>
              <w:pStyle w:val="null3"/>
              <w:jc w:val="left"/>
            </w:pPr>
            <w:r>
              <w:rPr>
                <w:rFonts w:ascii="仿宋_GB2312" w:hAnsi="仿宋_GB2312" w:cs="仿宋_GB2312" w:eastAsia="仿宋_GB2312"/>
                <w:sz w:val="24"/>
              </w:rPr>
              <w:t>2.深翻作业要求</w:t>
            </w:r>
          </w:p>
          <w:p>
            <w:pPr>
              <w:pStyle w:val="null3"/>
              <w:ind w:firstLine="240"/>
              <w:jc w:val="left"/>
            </w:pPr>
            <w:r>
              <w:rPr>
                <w:rFonts w:ascii="仿宋_GB2312" w:hAnsi="仿宋_GB2312" w:cs="仿宋_GB2312" w:eastAsia="仿宋_GB2312"/>
                <w:sz w:val="24"/>
              </w:rPr>
              <w:t>本项目农田深翻作业深度需达到</w:t>
            </w:r>
            <w:r>
              <w:rPr>
                <w:rFonts w:ascii="仿宋_GB2312" w:hAnsi="仿宋_GB2312" w:cs="仿宋_GB2312" w:eastAsia="仿宋_GB2312"/>
                <w:sz w:val="24"/>
              </w:rPr>
              <w:t xml:space="preserve"> 30cm，作业时间与有机肥基肥施用衔接，安排在上茬作物收获后、下茬作物播种前</w:t>
            </w:r>
            <w:r>
              <w:rPr>
                <w:rFonts w:ascii="仿宋_GB2312" w:hAnsi="仿宋_GB2312" w:cs="仿宋_GB2312" w:eastAsia="仿宋_GB2312"/>
                <w:sz w:val="24"/>
              </w:rPr>
              <w:t>。</w:t>
            </w:r>
          </w:p>
          <w:p>
            <w:pPr>
              <w:pStyle w:val="null3"/>
              <w:ind w:firstLine="240"/>
              <w:jc w:val="left"/>
            </w:pPr>
            <w:r>
              <w:rPr>
                <w:rFonts w:ascii="仿宋_GB2312" w:hAnsi="仿宋_GB2312" w:cs="仿宋_GB2312" w:eastAsia="仿宋_GB2312"/>
                <w:sz w:val="24"/>
              </w:rPr>
              <w:t>作业流程：在有机肥均匀抛撒至农田表层后，立即开展深翻作业，</w:t>
            </w:r>
            <w:r>
              <w:rPr>
                <w:rFonts w:ascii="仿宋_GB2312" w:hAnsi="仿宋_GB2312" w:cs="仿宋_GB2312" w:eastAsia="仿宋_GB2312"/>
                <w:sz w:val="24"/>
              </w:rPr>
              <w:t>机械耕深需稳定保持</w:t>
            </w:r>
            <w:r>
              <w:rPr>
                <w:rFonts w:ascii="仿宋_GB2312" w:hAnsi="仿宋_GB2312" w:cs="仿宋_GB2312" w:eastAsia="仿宋_GB2312"/>
                <w:sz w:val="24"/>
              </w:rPr>
              <w:t>30cm</w:t>
            </w:r>
            <w:r>
              <w:rPr>
                <w:rFonts w:ascii="仿宋_GB2312" w:hAnsi="仿宋_GB2312" w:cs="仿宋_GB2312" w:eastAsia="仿宋_GB2312"/>
                <w:sz w:val="24"/>
              </w:rPr>
              <w:t>，确保土层翻耕彻底、无漏翻区域；</w:t>
            </w:r>
          </w:p>
          <w:p>
            <w:pPr>
              <w:pStyle w:val="null3"/>
              <w:ind w:firstLine="240"/>
              <w:jc w:val="left"/>
            </w:pPr>
            <w:r>
              <w:rPr>
                <w:rFonts w:ascii="仿宋_GB2312" w:hAnsi="仿宋_GB2312" w:cs="仿宋_GB2312" w:eastAsia="仿宋_GB2312"/>
                <w:sz w:val="24"/>
              </w:rPr>
              <w:t>作业质量：深翻过程中需同步将抛撒的有机肥充分翻埋至</w:t>
            </w:r>
            <w:r>
              <w:rPr>
                <w:rFonts w:ascii="仿宋_GB2312" w:hAnsi="仿宋_GB2312" w:cs="仿宋_GB2312" w:eastAsia="仿宋_GB2312"/>
                <w:sz w:val="24"/>
              </w:rPr>
              <w:t xml:space="preserve"> 30cm </w:t>
            </w:r>
            <w:r>
              <w:rPr>
                <w:rFonts w:ascii="仿宋_GB2312" w:hAnsi="仿宋_GB2312" w:cs="仿宋_GB2312" w:eastAsia="仿宋_GB2312"/>
                <w:sz w:val="24"/>
              </w:rPr>
              <w:t>土层内，保证肥料与土壤均匀混合，避免出现肥料集中堆积或翻埋深度不足的情况；</w:t>
            </w:r>
          </w:p>
          <w:p>
            <w:pPr>
              <w:pStyle w:val="null3"/>
              <w:ind w:firstLine="240"/>
              <w:jc w:val="left"/>
            </w:pPr>
            <w:r>
              <w:rPr>
                <w:rFonts w:ascii="仿宋_GB2312" w:hAnsi="仿宋_GB2312" w:cs="仿宋_GB2312" w:eastAsia="仿宋_GB2312"/>
                <w:sz w:val="28"/>
                <w:b/>
              </w:rPr>
              <w:t>四、商务要求</w:t>
            </w:r>
          </w:p>
          <w:p>
            <w:pPr>
              <w:pStyle w:val="null3"/>
              <w:ind w:firstLine="600"/>
              <w:jc w:val="both"/>
            </w:pPr>
            <w:r>
              <w:rPr>
                <w:rFonts w:ascii="仿宋_GB2312" w:hAnsi="仿宋_GB2312" w:cs="仿宋_GB2312" w:eastAsia="仿宋_GB2312"/>
                <w:sz w:val="24"/>
              </w:rPr>
              <w:t>1.交货期：300日历天；</w:t>
            </w:r>
          </w:p>
          <w:p>
            <w:pPr>
              <w:pStyle w:val="null3"/>
              <w:ind w:firstLine="600"/>
              <w:jc w:val="both"/>
            </w:pPr>
            <w:r>
              <w:rPr>
                <w:rFonts w:ascii="仿宋_GB2312" w:hAnsi="仿宋_GB2312" w:cs="仿宋_GB2312" w:eastAsia="仿宋_GB2312"/>
                <w:sz w:val="24"/>
              </w:rPr>
              <w:t>2.实施地点：</w:t>
            </w:r>
            <w:r>
              <w:rPr>
                <w:rFonts w:ascii="仿宋_GB2312" w:hAnsi="仿宋_GB2312" w:cs="仿宋_GB2312" w:eastAsia="仿宋_GB2312"/>
                <w:sz w:val="24"/>
              </w:rPr>
              <w:t>采购人指定地点；</w:t>
            </w:r>
          </w:p>
          <w:p>
            <w:pPr>
              <w:pStyle w:val="null3"/>
              <w:ind w:firstLine="600"/>
              <w:jc w:val="both"/>
            </w:pPr>
            <w:r>
              <w:rPr>
                <w:rFonts w:ascii="仿宋_GB2312" w:hAnsi="仿宋_GB2312" w:cs="仿宋_GB2312" w:eastAsia="仿宋_GB2312"/>
                <w:sz w:val="24"/>
              </w:rPr>
              <w:t>3.质量：合格；</w:t>
            </w:r>
          </w:p>
          <w:p>
            <w:pPr>
              <w:pStyle w:val="null3"/>
              <w:ind w:firstLine="600"/>
              <w:jc w:val="both"/>
            </w:pPr>
            <w:r>
              <w:rPr>
                <w:rFonts w:ascii="仿宋_GB2312" w:hAnsi="仿宋_GB2312" w:cs="仿宋_GB2312" w:eastAsia="仿宋_GB2312"/>
                <w:sz w:val="24"/>
              </w:rPr>
              <w:t>4.质保期：</w:t>
            </w:r>
            <w:r>
              <w:rPr>
                <w:rFonts w:ascii="仿宋_GB2312" w:hAnsi="仿宋_GB2312" w:cs="仿宋_GB2312" w:eastAsia="仿宋_GB2312"/>
                <w:sz w:val="24"/>
              </w:rPr>
              <w:t>从竣工验收合格之日起</w:t>
            </w:r>
            <w:r>
              <w:rPr>
                <w:rFonts w:ascii="仿宋_GB2312" w:hAnsi="仿宋_GB2312" w:cs="仿宋_GB2312" w:eastAsia="仿宋_GB2312"/>
                <w:sz w:val="24"/>
              </w:rPr>
              <w:t>12</w:t>
            </w:r>
            <w:r>
              <w:rPr>
                <w:rFonts w:ascii="仿宋_GB2312" w:hAnsi="仿宋_GB2312" w:cs="仿宋_GB2312" w:eastAsia="仿宋_GB2312"/>
                <w:sz w:val="24"/>
              </w:rPr>
              <w:t>个月</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.售后服务：</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.1 中标人负责办理将货物或服务运抵采购单位指定交货地点的一切事项，并完成</w:t>
            </w:r>
            <w:r>
              <w:rPr>
                <w:rFonts w:ascii="仿宋_GB2312" w:hAnsi="仿宋_GB2312" w:cs="仿宋_GB2312" w:eastAsia="仿宋_GB2312"/>
                <w:sz w:val="24"/>
              </w:rPr>
              <w:t>所有相关工作。采购、配送、土壤深翻、施肥、售后服务、税金、验收等，所有费用一次性计入投标总价，合同履约过程中采购人不再支付其他额外费用。</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.2 投标产品涉及包装运输的，需满足《关于印发〈商品包装政府采购需求标准（试</w:t>
            </w:r>
            <w:r>
              <w:rPr>
                <w:rFonts w:ascii="仿宋_GB2312" w:hAnsi="仿宋_GB2312" w:cs="仿宋_GB2312" w:eastAsia="仿宋_GB2312"/>
                <w:sz w:val="24"/>
              </w:rPr>
              <w:t>行）〉〈快递包装政府采购需求标准（试行）〉》（财办库〔</w:t>
            </w:r>
            <w:r>
              <w:rPr>
                <w:rFonts w:ascii="仿宋_GB2312" w:hAnsi="仿宋_GB2312" w:cs="仿宋_GB2312" w:eastAsia="仿宋_GB2312"/>
                <w:sz w:val="24"/>
              </w:rPr>
              <w:t>2020〕123 号）要求，中标人应承担由于其包装或防护措施不妥而引起的货物锈蚀、损坏和丢失等任何损失造成的责任或费用。</w:t>
            </w:r>
          </w:p>
          <w:p>
            <w:pPr>
              <w:pStyle w:val="null3"/>
              <w:ind w:firstLine="600"/>
              <w:jc w:val="both"/>
            </w:pPr>
            <w:r>
              <w:rPr>
                <w:rFonts w:ascii="仿宋_GB2312" w:hAnsi="仿宋_GB2312" w:cs="仿宋_GB2312" w:eastAsia="仿宋_GB2312"/>
                <w:sz w:val="24"/>
              </w:rPr>
              <w:t>6</w:t>
            </w:r>
            <w:r>
              <w:rPr>
                <w:rFonts w:ascii="仿宋_GB2312" w:hAnsi="仿宋_GB2312" w:cs="仿宋_GB2312" w:eastAsia="仿宋_GB2312"/>
                <w:sz w:val="24"/>
              </w:rPr>
              <w:t>.付款方式：工程开工后，发包方根据财政拨付到位资金情况，按工程进度付款。</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标的名称：农业科技配套及应用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28"/>
                <w:b/>
              </w:rPr>
              <w:t>一、采购清单</w:t>
            </w:r>
          </w:p>
          <w:p>
            <w:pPr>
              <w:pStyle w:val="null3"/>
            </w:pPr>
            <w:r>
              <w:rPr>
                <w:rFonts w:ascii="仿宋_GB2312" w:hAnsi="仿宋_GB2312" w:cs="仿宋_GB2312" w:eastAsia="仿宋_GB2312"/>
                <w:sz w:val="30"/>
              </w:rPr>
              <w:t>采购清单见附件</w:t>
            </w:r>
          </w:p>
          <w:p>
            <w:pPr>
              <w:pStyle w:val="null3"/>
            </w:pPr>
            <w:r>
              <w:rPr>
                <w:rFonts w:ascii="仿宋_GB2312" w:hAnsi="仿宋_GB2312" w:cs="仿宋_GB2312" w:eastAsia="仿宋_GB2312"/>
                <w:sz w:val="28"/>
                <w:b/>
              </w:rPr>
              <w:t>二、技术参数</w:t>
            </w:r>
          </w:p>
          <w:tbl>
            <w:tblPr>
              <w:tblInd w:type="dxa" w:w="90"/>
              <w:tblBorders>
                <w:top w:val="none" w:color="000000" w:sz="4"/>
                <w:left w:val="none" w:color="000000" w:sz="4"/>
                <w:bottom w:val="none" w:color="000000" w:sz="4"/>
                <w:right w:val="none" w:color="000000" w:sz="4"/>
                <w:insideH w:val="none"/>
                <w:insideV w:val="none"/>
              </w:tblBorders>
            </w:tblPr>
            <w:tblGrid>
              <w:gridCol w:w="226"/>
              <w:gridCol w:w="495"/>
              <w:gridCol w:w="1338"/>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产品名称及</w:t>
                  </w:r>
                </w:p>
              </w:tc>
              <w:tc>
                <w:tcPr>
                  <w:tcW w:type="dxa" w:w="1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技术要求</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环境气象监测系统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获取当前农作物生长的必要参数，通过这些参数对农作物生长环境进行分析，实现环境监测灾害预警等功能从而有效的通过技术手段提高作物产量减少灾害损失，能够测量温度、湿度、降雨量、风力风速、太阳光照量、</w:t>
                  </w:r>
                  <w:r>
                    <w:rPr>
                      <w:rFonts w:ascii="仿宋_GB2312" w:hAnsi="仿宋_GB2312" w:cs="仿宋_GB2312" w:eastAsia="仿宋_GB2312"/>
                      <w:sz w:val="20"/>
                      <w:color w:val="000000"/>
                    </w:rPr>
                    <w:t>PM2.5、土壤水分温度等环境数据。</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太阳能杀虫</w:t>
                  </w:r>
                  <w:r>
                    <w:rPr>
                      <w:rFonts w:ascii="仿宋_GB2312" w:hAnsi="仿宋_GB2312" w:cs="仿宋_GB2312" w:eastAsia="仿宋_GB2312"/>
                      <w:sz w:val="20"/>
                      <w:color w:val="000000"/>
                    </w:rPr>
                    <w:t>系统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蓄电池：采用太阳能专用磷酸铁锂电池，电池容量</w:t>
                  </w:r>
                  <w:r>
                    <w:rPr>
                      <w:rFonts w:ascii="仿宋_GB2312" w:hAnsi="仿宋_GB2312" w:cs="仿宋_GB2312" w:eastAsia="仿宋_GB2312"/>
                      <w:sz w:val="20"/>
                      <w:color w:val="000000"/>
                    </w:rPr>
                    <w:t>12Ah，DC12.8V，具有过充、过放、短路保护功能，电池嵌于灯头内部。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太阳能电池板：单晶硅电池板，功率</w:t>
                  </w:r>
                  <w:r>
                    <w:rPr>
                      <w:rFonts w:ascii="仿宋_GB2312" w:hAnsi="仿宋_GB2312" w:cs="仿宋_GB2312" w:eastAsia="仿宋_GB2312"/>
                      <w:sz w:val="20"/>
                      <w:color w:val="000000"/>
                    </w:rPr>
                    <w:t>≥40W，实际转换效率≥21%，灯杆顶部倾斜固定安装。</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电网电压：</w:t>
                  </w:r>
                  <w:r>
                    <w:rPr>
                      <w:rFonts w:ascii="仿宋_GB2312" w:hAnsi="仿宋_GB2312" w:cs="仿宋_GB2312" w:eastAsia="仿宋_GB2312"/>
                      <w:sz w:val="20"/>
                      <w:color w:val="000000"/>
                    </w:rPr>
                    <w:t>≥4000V/；</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撞击面积：</w:t>
                  </w:r>
                  <w:r>
                    <w:rPr>
                      <w:rFonts w:ascii="仿宋_GB2312" w:hAnsi="仿宋_GB2312" w:cs="仿宋_GB2312" w:eastAsia="仿宋_GB2312"/>
                      <w:sz w:val="20"/>
                      <w:color w:val="000000"/>
                    </w:rPr>
                    <w:t>≥0.15㎡；</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≤20W；</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灯管光波波长：</w:t>
                  </w:r>
                  <w:r>
                    <w:rPr>
                      <w:rFonts w:ascii="仿宋_GB2312" w:hAnsi="仿宋_GB2312" w:cs="仿宋_GB2312" w:eastAsia="仿宋_GB2312"/>
                      <w:sz w:val="20"/>
                      <w:color w:val="000000"/>
                    </w:rPr>
                    <w:t>320～680nm；</w:t>
                  </w:r>
                </w:p>
                <w:p>
                  <w:pPr>
                    <w:pStyle w:val="null3"/>
                    <w:jc w:val="left"/>
                  </w:pPr>
                  <w:r>
                    <w:rPr>
                      <w:rFonts w:ascii="仿宋_GB2312" w:hAnsi="仿宋_GB2312" w:cs="仿宋_GB2312" w:eastAsia="仿宋_GB2312"/>
                      <w:sz w:val="20"/>
                      <w:color w:val="000000"/>
                    </w:rPr>
                    <w:t>7.控制面积：30～50 亩；</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土壤墒情监测系统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1.可连接符合485标准通讯协议的环境、土壤温湿度、光照、二氧化碳、压力、流量等传感器，可与FKZB103智能物联网网关通讯连接至云平台形成数据监测系统；</w:t>
                  </w:r>
                </w:p>
                <w:p>
                  <w:pPr>
                    <w:pStyle w:val="null3"/>
                    <w:jc w:val="left"/>
                  </w:pPr>
                  <w:r>
                    <w:rPr>
                      <w:rFonts w:ascii="仿宋_GB2312" w:hAnsi="仿宋_GB2312" w:cs="仿宋_GB2312" w:eastAsia="仿宋_GB2312"/>
                      <w:sz w:val="20"/>
                      <w:color w:val="000000"/>
                    </w:rPr>
                    <w:t>2.内置锂电池，满电情况下工作时间≥6个月。</w:t>
                  </w:r>
                </w:p>
                <w:p>
                  <w:pPr>
                    <w:pStyle w:val="null3"/>
                    <w:jc w:val="left"/>
                  </w:pPr>
                  <w:r>
                    <w:rPr>
                      <w:rFonts w:ascii="仿宋_GB2312" w:hAnsi="仿宋_GB2312" w:cs="仿宋_GB2312" w:eastAsia="仿宋_GB2312"/>
                      <w:sz w:val="20"/>
                      <w:color w:val="000000"/>
                    </w:rPr>
                    <w:t>3.太阳能充电功能，可长期使用，免维护。</w:t>
                  </w:r>
                </w:p>
                <w:p>
                  <w:pPr>
                    <w:pStyle w:val="null3"/>
                    <w:jc w:val="left"/>
                  </w:pPr>
                  <w:r>
                    <w:rPr>
                      <w:rFonts w:ascii="仿宋_GB2312" w:hAnsi="仿宋_GB2312" w:cs="仿宋_GB2312" w:eastAsia="仿宋_GB2312"/>
                      <w:sz w:val="20"/>
                      <w:color w:val="000000"/>
                    </w:rPr>
                    <w:t>4.Lora通讯技术，自动绕过障碍物，不低于2公里远距离稳定通讯 。</w:t>
                  </w:r>
                </w:p>
                <w:p>
                  <w:pPr>
                    <w:pStyle w:val="null3"/>
                    <w:jc w:val="left"/>
                  </w:pPr>
                  <w:r>
                    <w:rPr>
                      <w:rFonts w:ascii="仿宋_GB2312" w:hAnsi="仿宋_GB2312" w:cs="仿宋_GB2312" w:eastAsia="仿宋_GB2312"/>
                      <w:sz w:val="20"/>
                      <w:color w:val="000000"/>
                    </w:rPr>
                    <w:t>5.可配接其它厂家标准协议的传感器。</w:t>
                  </w:r>
                </w:p>
                <w:p>
                  <w:pPr>
                    <w:pStyle w:val="null3"/>
                    <w:jc w:val="left"/>
                  </w:pPr>
                  <w:r>
                    <w:rPr>
                      <w:rFonts w:ascii="仿宋_GB2312" w:hAnsi="仿宋_GB2312" w:cs="仿宋_GB2312" w:eastAsia="仿宋_GB2312"/>
                      <w:sz w:val="20"/>
                      <w:color w:val="000000"/>
                    </w:rPr>
                    <w:t>6.最少可接4个485传感器。</w:t>
                  </w:r>
                </w:p>
                <w:p>
                  <w:pPr>
                    <w:pStyle w:val="null3"/>
                    <w:jc w:val="left"/>
                  </w:pPr>
                  <w:r>
                    <w:rPr>
                      <w:rFonts w:ascii="仿宋_GB2312" w:hAnsi="仿宋_GB2312" w:cs="仿宋_GB2312" w:eastAsia="仿宋_GB2312"/>
                      <w:sz w:val="20"/>
                      <w:color w:val="000000"/>
                    </w:rPr>
                    <w:t>7.防水外壳，防护等级不低于IP67。</w:t>
                  </w:r>
                </w:p>
                <w:p>
                  <w:pPr>
                    <w:pStyle w:val="null3"/>
                    <w:jc w:val="left"/>
                  </w:pPr>
                  <w:r>
                    <w:rPr>
                      <w:rFonts w:ascii="仿宋_GB2312" w:hAnsi="仿宋_GB2312" w:cs="仿宋_GB2312" w:eastAsia="仿宋_GB2312"/>
                      <w:sz w:val="20"/>
                      <w:color w:val="000000"/>
                    </w:rPr>
                    <w:t>8.温度测量范围-20℃~80℃。</w:t>
                  </w:r>
                </w:p>
                <w:p>
                  <w:pPr>
                    <w:pStyle w:val="null3"/>
                    <w:jc w:val="left"/>
                  </w:pPr>
                  <w:r>
                    <w:rPr>
                      <w:rFonts w:ascii="仿宋_GB2312" w:hAnsi="仿宋_GB2312" w:cs="仿宋_GB2312" w:eastAsia="仿宋_GB2312"/>
                      <w:sz w:val="20"/>
                      <w:color w:val="000000"/>
                    </w:rPr>
                    <w:t>9.湿度测量范围0-100%。</w:t>
                  </w:r>
                </w:p>
                <w:p>
                  <w:pPr>
                    <w:pStyle w:val="null3"/>
                    <w:jc w:val="left"/>
                  </w:pPr>
                  <w:r>
                    <w:rPr>
                      <w:rFonts w:ascii="仿宋_GB2312" w:hAnsi="仿宋_GB2312" w:cs="仿宋_GB2312" w:eastAsia="仿宋_GB2312"/>
                      <w:sz w:val="20"/>
                      <w:color w:val="000000"/>
                    </w:rPr>
                    <w:t>10.工作温度-40℃~80℃。</w:t>
                  </w:r>
                </w:p>
                <w:p>
                  <w:pPr>
                    <w:pStyle w:val="null3"/>
                    <w:jc w:val="left"/>
                  </w:pPr>
                  <w:r>
                    <w:rPr>
                      <w:rFonts w:ascii="仿宋_GB2312" w:hAnsi="仿宋_GB2312" w:cs="仿宋_GB2312" w:eastAsia="仿宋_GB2312"/>
                      <w:sz w:val="20"/>
                      <w:color w:val="000000"/>
                    </w:rPr>
                    <w:t>11.防护等级不低于IP68。</w:t>
                  </w:r>
                </w:p>
                <w:p>
                  <w:pPr>
                    <w:pStyle w:val="null3"/>
                    <w:jc w:val="left"/>
                  </w:pPr>
                  <w:r>
                    <w:rPr>
                      <w:rFonts w:ascii="仿宋_GB2312" w:hAnsi="仿宋_GB2312" w:cs="仿宋_GB2312" w:eastAsia="仿宋_GB2312"/>
                      <w:sz w:val="20"/>
                      <w:color w:val="000000"/>
                    </w:rPr>
                    <w:t>12.测点间距≥10cm。</w:t>
                  </w:r>
                </w:p>
                <w:p>
                  <w:pPr>
                    <w:pStyle w:val="null3"/>
                    <w:jc w:val="left"/>
                  </w:pPr>
                  <w:r>
                    <w:rPr>
                      <w:rFonts w:ascii="仿宋_GB2312" w:hAnsi="仿宋_GB2312" w:cs="仿宋_GB2312" w:eastAsia="仿宋_GB2312"/>
                      <w:sz w:val="20"/>
                      <w:color w:val="000000"/>
                    </w:rPr>
                    <w:t>13.温度精度±0.5℃。</w:t>
                  </w:r>
                </w:p>
                <w:p>
                  <w:pPr>
                    <w:pStyle w:val="null3"/>
                    <w:jc w:val="left"/>
                  </w:pPr>
                  <w:r>
                    <w:rPr>
                      <w:rFonts w:ascii="仿宋_GB2312" w:hAnsi="仿宋_GB2312" w:cs="仿宋_GB2312" w:eastAsia="仿宋_GB2312"/>
                      <w:sz w:val="20"/>
                      <w:color w:val="000000"/>
                    </w:rPr>
                    <w:t>14.湿度精度±5%；</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设备围栏</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基础挖方</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0.3m*0.3m*0.4m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w:t>
                  </w:r>
                  <w:r>
                    <w:rPr>
                      <w:rFonts w:ascii="仿宋_GB2312" w:hAnsi="仿宋_GB2312" w:cs="仿宋_GB2312" w:eastAsia="仿宋_GB2312"/>
                      <w:sz w:val="20"/>
                      <w:color w:val="000000"/>
                    </w:rPr>
                    <w:t>C25混凝土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0.3m*0.3m*0.4m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围栏</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PVC 塑钢</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气象站基础</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长宽高</w:t>
                  </w:r>
                  <w:r>
                    <w:rPr>
                      <w:rFonts w:ascii="仿宋_GB2312" w:hAnsi="仿宋_GB2312" w:cs="仿宋_GB2312" w:eastAsia="仿宋_GB2312"/>
                      <w:sz w:val="20"/>
                      <w:color w:val="000000"/>
                    </w:rPr>
                    <w:t>:0.6m*0.6m*0.3m，C20混凝土</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基础挖方</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0.6m*0.6m*0.3m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w:t>
                  </w:r>
                  <w:r>
                    <w:rPr>
                      <w:rFonts w:ascii="仿宋_GB2312" w:hAnsi="仿宋_GB2312" w:cs="仿宋_GB2312" w:eastAsia="仿宋_GB2312"/>
                      <w:sz w:val="20"/>
                      <w:color w:val="000000"/>
                    </w:rPr>
                    <w:t>C20混凝土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0.6m*0.6m*0.3m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杀虫灯基础</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30cm*30cm*40cm，C20混凝土</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基础挖方</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30cm*30cm*40cm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基础</w:t>
                  </w:r>
                  <w:r>
                    <w:rPr>
                      <w:rFonts w:ascii="仿宋_GB2312" w:hAnsi="仿宋_GB2312" w:cs="仿宋_GB2312" w:eastAsia="仿宋_GB2312"/>
                      <w:sz w:val="20"/>
                      <w:color w:val="000000"/>
                    </w:rPr>
                    <w:t>C20混凝土</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30cm*30cm*40cm</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网络需求</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rPr>
                      <w:rFonts w:ascii="仿宋_GB2312" w:hAnsi="仿宋_GB2312" w:cs="仿宋_GB2312" w:eastAsia="仿宋_GB2312"/>
                      <w:sz w:val="20"/>
                      <w:color w:val="000000"/>
                    </w:rPr>
                    <w:t>100M专线，为有线设备使用，包括专线费用、网络涉及的综合布线、网络线材、网络施工、网络设备如交换机路由器等）</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云资源配置</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CPU：16C，内存：32G；</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系统盘（</w:t>
                  </w:r>
                  <w:r>
                    <w:rPr>
                      <w:rFonts w:ascii="仿宋_GB2312" w:hAnsi="仿宋_GB2312" w:cs="仿宋_GB2312" w:eastAsia="仿宋_GB2312"/>
                      <w:sz w:val="20"/>
                      <w:color w:val="000000"/>
                    </w:rPr>
                    <w:t>SAS）：100g+数据盘（SAS）：1TB（根据业务数据存储需求调整）</w:t>
                  </w:r>
                </w:p>
                <w:p>
                  <w:pPr>
                    <w:pStyle w:val="null3"/>
                    <w:jc w:val="left"/>
                  </w:pPr>
                  <w:r>
                    <w:rPr>
                      <w:rFonts w:ascii="仿宋_GB2312" w:hAnsi="仿宋_GB2312" w:cs="仿宋_GB2312" w:eastAsia="仿宋_GB2312"/>
                      <w:sz w:val="20"/>
                      <w:color w:val="000000"/>
                    </w:rPr>
                    <w:t>3.带宽50Mbit/s（根据业务访问并发调整）</w:t>
                  </w:r>
                </w:p>
                <w:p>
                  <w:pPr>
                    <w:pStyle w:val="null3"/>
                    <w:jc w:val="left"/>
                  </w:pPr>
                  <w:r>
                    <w:rPr>
                      <w:rFonts w:ascii="仿宋_GB2312" w:hAnsi="仿宋_GB2312" w:cs="仿宋_GB2312" w:eastAsia="仿宋_GB2312"/>
                      <w:sz w:val="20"/>
                      <w:color w:val="000000"/>
                    </w:rPr>
                    <w:t>4.操作系统：cen</w:t>
                  </w:r>
                  <w:r>
                    <w:rPr>
                      <w:rFonts w:ascii="仿宋_GB2312" w:hAnsi="仿宋_GB2312" w:cs="仿宋_GB2312" w:eastAsia="仿宋_GB2312"/>
                      <w:sz w:val="20"/>
                      <w:color w:val="000000"/>
                    </w:rPr>
                    <w:t>t</w:t>
                  </w:r>
                  <w:r>
                    <w:rPr>
                      <w:rFonts w:ascii="仿宋_GB2312" w:hAnsi="仿宋_GB2312" w:cs="仿宋_GB2312" w:eastAsia="仿宋_GB2312"/>
                      <w:sz w:val="20"/>
                      <w:color w:val="000000"/>
                    </w:rPr>
                    <w:t>os 8.2 64位</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农业灌溉用水监管、农业生产、物联网监管系统、系统中控及局域网建设</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包括灌溉用水一张图、农业灌溉设备管理、县域</w:t>
                  </w:r>
                  <w:r>
                    <w:rPr>
                      <w:rFonts w:ascii="仿宋_GB2312" w:hAnsi="仿宋_GB2312" w:cs="仿宋_GB2312" w:eastAsia="仿宋_GB2312"/>
                      <w:sz w:val="20"/>
                    </w:rPr>
                    <w:t>-农业生产、农业生产管理、智慧灌溉管理、设备监管、农田监测、预警设置、设备维修管理、设备故障上报、系统管理；光缆及套管施工3km，中控服务器1项</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JP75-400H型卷盘式喷灌机（桁架式自带增压泵）</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外形尺寸（长</w:t>
                  </w:r>
                  <w:r>
                    <w:rPr>
                      <w:rFonts w:ascii="仿宋_GB2312" w:hAnsi="仿宋_GB2312" w:cs="仿宋_GB2312" w:eastAsia="仿宋_GB2312"/>
                      <w:sz w:val="20"/>
                      <w:color w:val="000000"/>
                    </w:rPr>
                    <w:t>*宽*高）5300*2280*2600</w:t>
                  </w:r>
                  <w:r>
                    <w:rPr>
                      <w:rFonts w:ascii="仿宋_GB2312" w:hAnsi="仿宋_GB2312" w:cs="仿宋_GB2312" w:eastAsia="仿宋_GB2312"/>
                      <w:sz w:val="20"/>
                      <w:color w:val="000000"/>
                    </w:rPr>
                    <w:t>mm</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绞盘回卷驱动方式：水涡轮</w:t>
                  </w:r>
                  <w:r>
                    <w:rPr>
                      <w:rFonts w:ascii="仿宋_GB2312" w:hAnsi="仿宋_GB2312" w:cs="仿宋_GB2312" w:eastAsia="仿宋_GB2312"/>
                      <w:sz w:val="20"/>
                      <w:color w:val="000000"/>
                    </w:rPr>
                    <w:t>/电动；</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卷管长度：</w:t>
                  </w:r>
                  <w:r>
                    <w:rPr>
                      <w:rFonts w:ascii="仿宋_GB2312" w:hAnsi="仿宋_GB2312" w:cs="仿宋_GB2312" w:eastAsia="仿宋_GB2312"/>
                      <w:sz w:val="20"/>
                      <w:color w:val="000000"/>
                    </w:rPr>
                    <w:t>400m；</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有效喷洒幅宽：</w:t>
                  </w:r>
                  <w:r>
                    <w:rPr>
                      <w:rFonts w:ascii="仿宋_GB2312" w:hAnsi="仿宋_GB2312" w:cs="仿宋_GB2312" w:eastAsia="仿宋_GB2312"/>
                      <w:sz w:val="20"/>
                      <w:color w:val="000000"/>
                    </w:rPr>
                    <w:t>40-52m；</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喷射装置形式：蜗轮蜗杆式；</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配套水泵扬程：</w:t>
                  </w:r>
                  <w:r>
                    <w:rPr>
                      <w:rFonts w:ascii="仿宋_GB2312" w:hAnsi="仿宋_GB2312" w:cs="仿宋_GB2312" w:eastAsia="仿宋_GB2312"/>
                      <w:sz w:val="20"/>
                      <w:color w:val="000000"/>
                    </w:rPr>
                    <w:t>35-70m；</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配套水泵额定流量：</w:t>
                  </w:r>
                  <w:r>
                    <w:rPr>
                      <w:rFonts w:ascii="仿宋_GB2312" w:hAnsi="仿宋_GB2312" w:cs="仿宋_GB2312" w:eastAsia="仿宋_GB2312"/>
                      <w:sz w:val="20"/>
                      <w:color w:val="000000"/>
                    </w:rPr>
                    <w:t>20-50m³/h；</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喷头流量</w:t>
                  </w:r>
                  <w:r>
                    <w:rPr>
                      <w:rFonts w:ascii="仿宋_GB2312" w:hAnsi="仿宋_GB2312" w:cs="仿宋_GB2312" w:eastAsia="仿宋_GB2312"/>
                      <w:sz w:val="20"/>
                      <w:color w:val="000000"/>
                    </w:rPr>
                    <w:t>30～40m³/h；</w:t>
                  </w:r>
                </w:p>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PE管直径75mm；</w:t>
                  </w:r>
                </w:p>
                <w:p>
                  <w:pPr>
                    <w:pStyle w:val="null3"/>
                    <w:jc w:val="left"/>
                  </w:pPr>
                  <w:r>
                    <w:rPr>
                      <w:rFonts w:ascii="仿宋_GB2312" w:hAnsi="仿宋_GB2312" w:cs="仿宋_GB2312" w:eastAsia="仿宋_GB2312"/>
                      <w:sz w:val="20"/>
                      <w:color w:val="000000"/>
                    </w:rPr>
                    <w:t>10.</w:t>
                  </w:r>
                  <w:r>
                    <w:rPr>
                      <w:rFonts w:ascii="仿宋_GB2312" w:hAnsi="仿宋_GB2312" w:cs="仿宋_GB2312" w:eastAsia="仿宋_GB2312"/>
                      <w:sz w:val="20"/>
                      <w:color w:val="000000"/>
                    </w:rPr>
                    <w:t>喷淋架宽度</w:t>
                  </w:r>
                  <w:r>
                    <w:rPr>
                      <w:rFonts w:ascii="仿宋_GB2312" w:hAnsi="仿宋_GB2312" w:cs="仿宋_GB2312" w:eastAsia="仿宋_GB2312"/>
                      <w:sz w:val="20"/>
                      <w:color w:val="000000"/>
                    </w:rPr>
                    <w:t>28m；</w:t>
                  </w:r>
                </w:p>
                <w:p>
                  <w:pPr>
                    <w:pStyle w:val="null3"/>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最大控制幅宽</w:t>
                  </w:r>
                  <w:r>
                    <w:rPr>
                      <w:rFonts w:ascii="仿宋_GB2312" w:hAnsi="仿宋_GB2312" w:cs="仿宋_GB2312" w:eastAsia="仿宋_GB2312"/>
                      <w:sz w:val="20"/>
                      <w:color w:val="000000"/>
                    </w:rPr>
                    <w:t>30m；</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增压泵</w:t>
                  </w:r>
                  <w:r>
                    <w:rPr>
                      <w:rFonts w:ascii="仿宋_GB2312" w:hAnsi="仿宋_GB2312" w:cs="仿宋_GB2312" w:eastAsia="仿宋_GB2312"/>
                      <w:sz w:val="20"/>
                      <w:color w:val="000000"/>
                    </w:rPr>
                    <w:t>H=50m，功率7.5kW；</w:t>
                  </w:r>
                </w:p>
                <w:p>
                  <w:pPr>
                    <w:pStyle w:val="null3"/>
                    <w:jc w:val="left"/>
                  </w:pPr>
                  <w:r>
                    <w:rPr>
                      <w:rFonts w:ascii="仿宋_GB2312" w:hAnsi="仿宋_GB2312" w:cs="仿宋_GB2312" w:eastAsia="仿宋_GB2312"/>
                      <w:sz w:val="20"/>
                      <w:color w:val="000000"/>
                    </w:rPr>
                    <w:t>13.</w:t>
                  </w:r>
                  <w:r>
                    <w:rPr>
                      <w:rFonts w:ascii="仿宋_GB2312" w:hAnsi="仿宋_GB2312" w:cs="仿宋_GB2312" w:eastAsia="仿宋_GB2312"/>
                      <w:sz w:val="20"/>
                      <w:color w:val="000000"/>
                    </w:rPr>
                    <w:t>柴油机机组</w:t>
                  </w:r>
                  <w:r>
                    <w:rPr>
                      <w:rFonts w:ascii="仿宋_GB2312" w:hAnsi="仿宋_GB2312" w:cs="仿宋_GB2312" w:eastAsia="仿宋_GB2312"/>
                      <w:sz w:val="20"/>
                      <w:color w:val="000000"/>
                    </w:rPr>
                    <w:t>24kW。</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示范水肥一体机</w:t>
                  </w:r>
                </w:p>
              </w:tc>
              <w:tc>
                <w:tcPr>
                  <w:tcW w:type="dxa" w:w="1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2000*1100*1450mm水肥一体化防护厢体，</w:t>
                  </w:r>
                  <w:r>
                    <w:rPr>
                      <w:rFonts w:ascii="仿宋_GB2312" w:hAnsi="仿宋_GB2312" w:cs="仿宋_GB2312" w:eastAsia="仿宋_GB2312"/>
                      <w:sz w:val="20"/>
                      <w:color w:val="000000"/>
                    </w:rPr>
                    <w:t>2.</w:t>
                  </w:r>
                  <w:r>
                    <w:rPr>
                      <w:rFonts w:ascii="仿宋_GB2312" w:hAnsi="仿宋_GB2312" w:cs="仿宋_GB2312" w:eastAsia="仿宋_GB2312"/>
                      <w:sz w:val="20"/>
                      <w:color w:val="000000"/>
                    </w:rPr>
                    <w:t>2000*1100*1450mm厢体内安装施肥、过滤设备和水肥控制柜；</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智能灌溉移动设备车架规格为</w:t>
                  </w:r>
                  <w:r>
                    <w:rPr>
                      <w:rFonts w:ascii="仿宋_GB2312" w:hAnsi="仿宋_GB2312" w:cs="仿宋_GB2312" w:eastAsia="仿宋_GB2312"/>
                      <w:sz w:val="20"/>
                      <w:color w:val="000000"/>
                    </w:rPr>
                    <w:t>2000*1000mm。</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8"/>
                <w:b/>
              </w:rPr>
              <w:t>三、商务要求</w:t>
            </w:r>
          </w:p>
          <w:p>
            <w:pPr>
              <w:pStyle w:val="null3"/>
              <w:ind w:firstLine="600"/>
              <w:jc w:val="both"/>
            </w:pPr>
            <w:r>
              <w:rPr>
                <w:rFonts w:ascii="仿宋_GB2312" w:hAnsi="仿宋_GB2312" w:cs="仿宋_GB2312" w:eastAsia="仿宋_GB2312"/>
                <w:sz w:val="24"/>
              </w:rPr>
              <w:t>1.</w:t>
            </w:r>
            <w:r>
              <w:rPr>
                <w:rFonts w:ascii="仿宋_GB2312" w:hAnsi="仿宋_GB2312" w:cs="仿宋_GB2312" w:eastAsia="仿宋_GB2312"/>
                <w:sz w:val="24"/>
              </w:rPr>
              <w:t>交货</w:t>
            </w:r>
            <w:r>
              <w:rPr>
                <w:rFonts w:ascii="仿宋_GB2312" w:hAnsi="仿宋_GB2312" w:cs="仿宋_GB2312" w:eastAsia="仿宋_GB2312"/>
                <w:sz w:val="24"/>
              </w:rPr>
              <w:t>期：</w:t>
            </w:r>
            <w:r>
              <w:rPr>
                <w:rFonts w:ascii="仿宋_GB2312" w:hAnsi="仿宋_GB2312" w:cs="仿宋_GB2312" w:eastAsia="仿宋_GB2312"/>
                <w:sz w:val="24"/>
              </w:rPr>
              <w:t>300日历天</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2.实施地点：</w:t>
            </w:r>
            <w:r>
              <w:rPr>
                <w:rFonts w:ascii="仿宋_GB2312" w:hAnsi="仿宋_GB2312" w:cs="仿宋_GB2312" w:eastAsia="仿宋_GB2312"/>
                <w:sz w:val="24"/>
              </w:rPr>
              <w:t>采购人指定地点；</w:t>
            </w:r>
          </w:p>
          <w:p>
            <w:pPr>
              <w:pStyle w:val="null3"/>
              <w:ind w:firstLine="600"/>
              <w:jc w:val="both"/>
            </w:pPr>
            <w:r>
              <w:rPr>
                <w:rFonts w:ascii="仿宋_GB2312" w:hAnsi="仿宋_GB2312" w:cs="仿宋_GB2312" w:eastAsia="仿宋_GB2312"/>
                <w:sz w:val="24"/>
              </w:rPr>
              <w:t>3.质量：合格；</w:t>
            </w:r>
          </w:p>
          <w:p>
            <w:pPr>
              <w:pStyle w:val="null3"/>
              <w:ind w:firstLine="600"/>
              <w:jc w:val="both"/>
            </w:pPr>
            <w:r>
              <w:rPr>
                <w:rFonts w:ascii="仿宋_GB2312" w:hAnsi="仿宋_GB2312" w:cs="仿宋_GB2312" w:eastAsia="仿宋_GB2312"/>
                <w:sz w:val="24"/>
              </w:rPr>
              <w:t>4.质保期：</w:t>
            </w:r>
            <w:r>
              <w:rPr>
                <w:rFonts w:ascii="仿宋_GB2312" w:hAnsi="仿宋_GB2312" w:cs="仿宋_GB2312" w:eastAsia="仿宋_GB2312"/>
                <w:sz w:val="24"/>
              </w:rPr>
              <w:t>从竣工验收合格之日起</w:t>
            </w:r>
            <w:r>
              <w:rPr>
                <w:rFonts w:ascii="仿宋_GB2312" w:hAnsi="仿宋_GB2312" w:cs="仿宋_GB2312" w:eastAsia="仿宋_GB2312"/>
                <w:sz w:val="24"/>
              </w:rPr>
              <w:t>12</w:t>
            </w:r>
            <w:r>
              <w:rPr>
                <w:rFonts w:ascii="仿宋_GB2312" w:hAnsi="仿宋_GB2312" w:cs="仿宋_GB2312" w:eastAsia="仿宋_GB2312"/>
                <w:sz w:val="24"/>
              </w:rPr>
              <w:t>个月</w:t>
            </w:r>
            <w:r>
              <w:rPr>
                <w:rFonts w:ascii="仿宋_GB2312" w:hAnsi="仿宋_GB2312" w:cs="仿宋_GB2312" w:eastAsia="仿宋_GB2312"/>
                <w:sz w:val="24"/>
              </w:rPr>
              <w:t>。</w:t>
            </w:r>
            <w:r>
              <w:rPr>
                <w:rFonts w:ascii="仿宋_GB2312" w:hAnsi="仿宋_GB2312" w:cs="仿宋_GB2312" w:eastAsia="仿宋_GB2312"/>
                <w:sz w:val="24"/>
              </w:rPr>
              <w:t>云资源配置所有系统含</w:t>
            </w:r>
            <w:r>
              <w:rPr>
                <w:rFonts w:ascii="仿宋_GB2312" w:hAnsi="仿宋_GB2312" w:cs="仿宋_GB2312" w:eastAsia="仿宋_GB2312"/>
                <w:sz w:val="24"/>
              </w:rPr>
              <w:t>3年硬件质保，软件维护、系统升级等免费服务</w:t>
            </w:r>
            <w:r>
              <w:rPr>
                <w:rFonts w:ascii="仿宋_GB2312" w:hAnsi="仿宋_GB2312" w:cs="仿宋_GB2312" w:eastAsia="仿宋_GB2312"/>
                <w:sz w:val="24"/>
              </w:rPr>
              <w:t>；</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.售后服务：</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.1 中标人负责办理将货物运抵采购单位指定交货地点的一切事项，并完成</w:t>
            </w:r>
          </w:p>
          <w:p>
            <w:pPr>
              <w:pStyle w:val="null3"/>
              <w:jc w:val="both"/>
            </w:pPr>
            <w:r>
              <w:rPr>
                <w:rFonts w:ascii="仿宋_GB2312" w:hAnsi="仿宋_GB2312" w:cs="仿宋_GB2312" w:eastAsia="仿宋_GB2312"/>
                <w:sz w:val="24"/>
              </w:rPr>
              <w:t>所有相关工作。采购、配送、</w:t>
            </w:r>
            <w:r>
              <w:rPr>
                <w:rFonts w:ascii="仿宋_GB2312" w:hAnsi="仿宋_GB2312" w:cs="仿宋_GB2312" w:eastAsia="仿宋_GB2312"/>
                <w:sz w:val="24"/>
              </w:rPr>
              <w:t>安装</w:t>
            </w:r>
            <w:r>
              <w:rPr>
                <w:rFonts w:ascii="仿宋_GB2312" w:hAnsi="仿宋_GB2312" w:cs="仿宋_GB2312" w:eastAsia="仿宋_GB2312"/>
                <w:sz w:val="24"/>
              </w:rPr>
              <w:t>、</w:t>
            </w:r>
            <w:r>
              <w:rPr>
                <w:rFonts w:ascii="仿宋_GB2312" w:hAnsi="仿宋_GB2312" w:cs="仿宋_GB2312" w:eastAsia="仿宋_GB2312"/>
                <w:sz w:val="24"/>
              </w:rPr>
              <w:t>调试、</w:t>
            </w:r>
            <w:r>
              <w:rPr>
                <w:rFonts w:ascii="仿宋_GB2312" w:hAnsi="仿宋_GB2312" w:cs="仿宋_GB2312" w:eastAsia="仿宋_GB2312"/>
                <w:sz w:val="24"/>
              </w:rPr>
              <w:t>售后服务、税金、验收等，所有费用一次性计入投标总价，合同履约过程中采购人不再支付其他额外费用。</w:t>
            </w:r>
          </w:p>
          <w:p>
            <w:pPr>
              <w:pStyle w:val="null3"/>
              <w:ind w:firstLine="600"/>
              <w:jc w:val="both"/>
            </w:pPr>
            <w:r>
              <w:rPr>
                <w:rFonts w:ascii="仿宋_GB2312" w:hAnsi="仿宋_GB2312" w:cs="仿宋_GB2312" w:eastAsia="仿宋_GB2312"/>
                <w:sz w:val="24"/>
              </w:rPr>
              <w:t>5</w:t>
            </w:r>
            <w:r>
              <w:rPr>
                <w:rFonts w:ascii="仿宋_GB2312" w:hAnsi="仿宋_GB2312" w:cs="仿宋_GB2312" w:eastAsia="仿宋_GB2312"/>
                <w:sz w:val="24"/>
              </w:rPr>
              <w:t>.2 投标产品涉及包装运输的，需满足《关于印发〈商品包装政府采购需求标准（试</w:t>
            </w:r>
            <w:r>
              <w:rPr>
                <w:rFonts w:ascii="仿宋_GB2312" w:hAnsi="仿宋_GB2312" w:cs="仿宋_GB2312" w:eastAsia="仿宋_GB2312"/>
                <w:sz w:val="24"/>
              </w:rPr>
              <w:t>行）〉〈快递包装政府采购需求标准（试行）〉》（财办库〔</w:t>
            </w:r>
            <w:r>
              <w:rPr>
                <w:rFonts w:ascii="仿宋_GB2312" w:hAnsi="仿宋_GB2312" w:cs="仿宋_GB2312" w:eastAsia="仿宋_GB2312"/>
                <w:sz w:val="24"/>
              </w:rPr>
              <w:t>2020〕123 号）要求，中标人应承担由于其包装或防护措施不妥而引起的货物锈蚀、损坏和丢失等任何损失造成的责任或费用。</w:t>
            </w:r>
          </w:p>
          <w:p>
            <w:pPr>
              <w:pStyle w:val="null3"/>
              <w:ind w:firstLine="600"/>
              <w:jc w:val="both"/>
            </w:pPr>
            <w:r>
              <w:rPr>
                <w:rFonts w:ascii="仿宋_GB2312" w:hAnsi="仿宋_GB2312" w:cs="仿宋_GB2312" w:eastAsia="仿宋_GB2312"/>
                <w:sz w:val="24"/>
              </w:rPr>
              <w:t>6</w:t>
            </w:r>
            <w:r>
              <w:rPr>
                <w:rFonts w:ascii="仿宋_GB2312" w:hAnsi="仿宋_GB2312" w:cs="仿宋_GB2312" w:eastAsia="仿宋_GB2312"/>
                <w:sz w:val="24"/>
              </w:rPr>
              <w:t>.付款方式：工程开工后，发包方根据财政拨付到位资金情况，按工程进度付款。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采购i人指定地点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工程开工后，发包方根据资金到位情况， 按工程进度支付工程款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工程开工后，发包方根据资金到位情况， 按工程进度支付工程款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《高标准农田建设项目竣工验收办法（试行）》及行业其他相关规范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《高标准农田建设项目竣工验收办法（试行）》及行业其他相关规范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工程竣工验收合格之日起1年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工程竣工验收合格之日起1年，其中云资源配置所有系统含3年硬件质保，软件维护、系统升级等免费服务。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向工程所在地人民法院起诉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向工程所在地人民法院起诉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（一）投标人须保证产品货源渠道正常，确保供应的产品为100%全新正品，无假货、水货、翻新货且无产权纠纷，符合国家行业标准和要求，满足政府采购相关法律要求，提供承诺书。 （二）合同总金额包括但不限于产品费（含相关配件、附件、安装材料）、制造、包装、运输、安装、调试、检测、验收合格交付使用之前及保修期内保修服务等其他有关各项的含税费用。 （三）由投标人自行承担因现场踏勘而产生的费用及安全。 （四）本项目所属行业为：工业。根据《工业和信息化部、国家统计局、国家发展和改革委员会、财政部关于印发中小企业划型标准规定的通知》《工信部联企业(2011)300 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（五）中标人在领取中标通知书前，须向采购代理机构提供纸质版投标文件 2套（包括投标文件的全部内容）且提供的投标文件必须与在陕西省政府采购综合管理平台的项目电子化交易系统中递交的电子投标文件内容一致。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投标人为生产厂家的须提供肥料登记证，投标人为代理商的须提供生产厂家的肥料登记证。</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资格证明文件资料.docx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投标人应具有独立承担民事责任的能力且具备向采购人提供企业法人、其他组织,企业法人应提供统一社会信用代码的营业执照；其他组织应提供合法证明文件；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投标人任选其一进行提供；</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投标人授权合法的人员参加投标全过程</w:t>
            </w:r>
          </w:p>
        </w:tc>
        <w:tc>
          <w:tcPr>
            <w:tcW w:type="dxa" w:w="3322"/>
          </w:tcPr>
          <w:p>
            <w:pPr>
              <w:pStyle w:val="null3"/>
            </w:pPr>
            <w:r>
              <w:rPr>
                <w:rFonts w:ascii="仿宋_GB2312" w:hAnsi="仿宋_GB2312" w:cs="仿宋_GB2312" w:eastAsia="仿宋_GB2312"/>
              </w:rPr>
              <w:t>投标人授权合法的人员参加投标全过程：法定代表人授权委托书（附法定代表人身份证复印件）及被授权委托人身份证（法定代表人参加投标只须提供法定代表人身份证）及授权代表身份证及被授权人开标前六个月内任意连续三个月在本单位的社保缴纳证明</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或“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资格证明文件资料合同包2.docx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资格证明文件资料合同包2.docx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投标人名称与营业执照等一致。</w:t>
            </w:r>
          </w:p>
        </w:tc>
        <w:tc>
          <w:tcPr>
            <w:tcW w:type="dxa" w:w="1661"/>
          </w:tcPr>
          <w:p>
            <w:pPr>
              <w:pStyle w:val="null3"/>
            </w:pPr>
            <w:r>
              <w:rPr>
                <w:rFonts w:ascii="仿宋_GB2312" w:hAnsi="仿宋_GB2312" w:cs="仿宋_GB2312" w:eastAsia="仿宋_GB2312"/>
              </w:rPr>
              <w:t>资格证明文件资料.docx 中小企业声明函 商务应答表 承诺书.docx 产品技术参数表 供货及服务方案.docx 投标函 残疾人福利性单位声明函 标的清单 其他资料.docx 投标文件封面 业绩情况表.docx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只能有一个有效报价，不得提交选择性报价，且报价不超出最高限价。</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资格证明文件资料.docx 中小企业声明函 商务应答表 承诺书.docx 产品技术参数表 供货及服务方案.docx 投标函 残疾人福利性单位声明函 标的清单 其他资料.docx 投标文件封面 业绩情况表.docx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交货期、交货地点</w:t>
            </w:r>
          </w:p>
        </w:tc>
        <w:tc>
          <w:tcPr>
            <w:tcW w:type="dxa" w:w="3322"/>
          </w:tcPr>
          <w:p>
            <w:pPr>
              <w:pStyle w:val="null3"/>
            </w:pPr>
            <w:r>
              <w:rPr>
                <w:rFonts w:ascii="仿宋_GB2312" w:hAnsi="仿宋_GB2312" w:cs="仿宋_GB2312" w:eastAsia="仿宋_GB2312"/>
              </w:rPr>
              <w:t>应满足招标文件中要求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对招标文件商务要求响应程度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中小企业声明函 商务应答表 承诺书.docx 资格证明文件资料合同包2.docx 产品技术参数表 供货及服务方案.docx 投标函 残疾人福利性单位声明函 标的清单 其他资料.docx 投标文件封面 业绩情况表.docx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只能有一个有效报价，不得提交选择性报价，且报价不超出最高限价。</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投标文件的签字、盖章符合招标文件要求</w:t>
            </w:r>
          </w:p>
        </w:tc>
        <w:tc>
          <w:tcPr>
            <w:tcW w:type="dxa" w:w="1661"/>
          </w:tcPr>
          <w:p>
            <w:pPr>
              <w:pStyle w:val="null3"/>
            </w:pPr>
            <w:r>
              <w:rPr>
                <w:rFonts w:ascii="仿宋_GB2312" w:hAnsi="仿宋_GB2312" w:cs="仿宋_GB2312" w:eastAsia="仿宋_GB2312"/>
              </w:rPr>
              <w:t>中小企业声明函 商务应答表 承诺书.docx 资格证明文件资料合同包2.docx 产品技术参数表 供货及服务方案.docx 投标函 残疾人福利性单位声明函 标的清单 其他资料.docx 投标文件封面 业绩情况表.docx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交货期、交货地点</w:t>
            </w:r>
          </w:p>
        </w:tc>
        <w:tc>
          <w:tcPr>
            <w:tcW w:type="dxa" w:w="3322"/>
          </w:tcPr>
          <w:p>
            <w:pPr>
              <w:pStyle w:val="null3"/>
            </w:pPr>
            <w:r>
              <w:rPr>
                <w:rFonts w:ascii="仿宋_GB2312" w:hAnsi="仿宋_GB2312" w:cs="仿宋_GB2312" w:eastAsia="仿宋_GB2312"/>
              </w:rPr>
              <w:t>应满足招标文件中要求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按招标文件要求缴纳投标保证金。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对招标文件商务要求响应程度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所投肥料的技术参数等符合招标文件要求，提供肥料的技术资料（如检测报告、产品合格证、公开发行的使用手册/说明书、官网产品功能截图、彩页等相关资料）： ①产品技术规格满足或优于采购人要求、证明资料齐全、详细、完整、充分，计10分。 ②产品技术规格有一项不满足的扣1分，有一项证明资料不齐全的扣1分，扣完为止；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能提供所投产品的合法来源渠道证明文件（包括但不限于产品制造商授权、销售协议、代理协议、原厂授权等），计2分，不提供的不计分。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投标人针对本项目编制完整的项目实施方案，内容包括：①产品采购、供货进度计划及保证措施；②深翻施肥方案；③拟投入本项目人员及机械的数量、分工及责任制度；④项目实施过程中的安全保障措施；⑤项目实施过程中的应急预案； 二、评审标准：1、完整性：方案必须全面，对评审内容中的各项要求有详细描述；2、可实施性：切合本项目实际情况，提出步骤清晰、合理的方案；3、针对性：方案能够紧扣项目实际情况，内容科学合理。 三、赋分标准（满分30分）：①产品采购、供货进度计划及保证措施：每完全满足一个评审标准得2分，满分6分； ②深翻施肥方案：每完全满足一个评审标准得2分，满分6分；③拟投入本项目人员及机械的数量、分工及责任制度：每完全满足一个评审标准得2分，满分6分。④项目实施过程中的安全保障措施：每完全满足一个评审标准得2分，满分6分。⑤项目实施过程中的应急预案：每完全满足一个评审标准得2分，满分6分；不满足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一、评审内容：项目质量保证措施包括：①产品质量保证措施；②耕地地力提升质量保证措施； 二、评审标准：1、完整性：方案必须全面，对 评审内容中的各项要求有详细描述；2、可实施性：切合本项目实际情况，提出步骤清晰、合理的方案；3、针对性：方案能够紧扣项目实际情况，内容科学合理。 三、赋分标准（满分12分）：①产品质量保证措施：每完全满足一个评审标准得2分，满分6分； ②耕地地力提升质量保证措施：每完全满足一个评审标准得2分，满分6分；不满足不得分。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一、评审内容：包括①售后服务团队建立；②回访及跟踪计划； 二、评审标准：1、可实施性：切合本项目实际情况，提出步骤清晰、合理的方案；2、针对性：方案能够紧扣项目实际情况，内容科学合理。 三、赋分标准（满分10分）：①售后服务团队建立：每完全满足一个评审标准得2.5分，满分5分；②回访及跟踪计划：每完全满足一个评审标准得2.5分，满分5分；不满足不得分。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提供投标人2022年12月至今类似项目业绩（以加盖公章的合同复印件为准，日期以合同签订时间为准），每份计2分，计满6分为止。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有效投标人的最低报价为基准价得30分，其他各投标人的报价得分按。统一按照下列公式计算：投标报价得分=(基准价／投标报价)×30，计算分数时四舍五入取小数点后两位； 经评委一致认定，投标人的投标报价低于公认市场成本，或超过采购预算,其响应将被拒绝。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所投产品的技术参数等符合招标文件要求，提供产品的技术资料（如检测报告、产品合格证、公开发行的使用手册/说明书、官网产品功能截图、彩页等相关资料）： ①产品技术规格满足或优于采购人要求、证明资料齐全、详细、完整、充分，计18分。 ②产品技术规格有一项不满足的扣1分，有一项证明资料不齐全的扣1分，扣完为止；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能提供所投产品的合法来源渠道证明文件（包括但不限于产品制造商授权、销售协议、代理协议、原厂授权等），计3分，不提供的不计分。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投标人针对本项目编制完整的项目实施方案，内容包括：①产品采购、供货进度计划及保证措施；②安装调试方案；③拟投入本项目人员数量、分工及责任制度；④项目实施过程中的安全保障措施；⑤项目实施过程中的应急预案； 二、评审标准：1、完整性：方案必须全面，对评审内容中的各项要求有详细描述；2、可实施性：切合本项目实际情况，提出步骤清晰、合理的方案；3、针对性：方案能够紧扣项目实际情况，内容科学合理。 三、赋分标准（满分30分）：①产品采购、供货进度计划及保证措施：每完全满足一个评审标准得2分，满分6分。 ②安装调试方案：每完全满足一个评审标准得2分，满分6分。③拟投入本项目人员数量、分工及责任制度：每完全满足一个评审标准得2分，满分6分。④项目实施过程中的安全保障措施：每完全满足一个评审标准得2分，满分6分。⑤项目实施过程中的应急预案：每完全满足一个评审标准得2分，满分6分；不满足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一、评审内容：质量保证措施包括：①产品质量保证措施；②安装调试质量保证措施； 二、评审标准：1、完整性：方案必须全面，对评审内容中的各项要求有详细描述；2、可实施性：切合本项目实际情况，提出步骤清晰、合理的方案；3、针对性：方案能够紧扣项目实际情况，内容科学合理。 三、赋分标准（满分9分）：①产品质量保证措施：每完全满足一个评审标准得1.5分，满分4.5分。 ②安装调试质量保证措施：每完全满足一个评审标准得1.5分，满分4.5分；不满足不得分。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一、评审内容：包括但不仅限于①售后服务团队建立；②回访及跟踪计划； 二、评审标准：1、可实施性：切合本项目实际情况，提出步骤清晰、合理的方案；2、针对性：方案能够紧扣项目实际情况，内容科学合理。 三、赋分标准（满分4分）：①售后服务团队建立：每完全满足一个评审标准得1分，不满足不得分，满分2分；②回访及跟踪计划：每完全满足一个评审标准得1分，不满足不得分，满分2分；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提供投标人2020年12月至今类似项目业绩（以加盖公章的合同复印件为准，日期以合同签订时间为准），每份计2分，计满6分为止。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落实政府采购政策进行价格调整的，以调整后的价格计算）最低报价为基准价得30分，其他各投标人的报价得分按。统一按照下列公式计算：投标报价得分=(基准价／投标报价)×30，计算分数时四舍五入取小数点后两位； 经评委一致认定，投标人的投标报价低于公认市场成本，或超过采购预算,其响应将被拒绝。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详见附件：供货及服务方案.docx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详见附件：资格证明文件资料.docx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详见附件：供货及服务方案.docx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详见附件：资格证明文件资料合同包2.docx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