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版本号：SXZYXM2025-3820250813001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华阴市公务用车信息化管理服务平台技术运行维护服务项目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SXZYXM2025-38</w:t>
      </w:r>
      <w:r>
        <w:br/>
      </w:r>
      <w:r>
        <w:br/>
      </w:r>
      <w:r>
        <w:br/>
      </w:r>
    </w:p>
    <w:p>
      <w:pPr>
        <w:pStyle w:val="null3"/>
        <w:jc w:val="center"/>
        <w:outlineLvl w:val="5"/>
      </w:pPr>
      <w:r>
        <w:rPr>
          <w:rFonts w:ascii="仿宋_GB2312" w:hAnsi="仿宋_GB2312" w:cs="仿宋_GB2312" w:eastAsia="仿宋_GB2312"/>
          <w:sz w:val="15"/>
          <w:b/>
        </w:rPr>
        <w:t>华阴市国有资产中心</w:t>
      </w:r>
    </w:p>
    <w:p>
      <w:pPr>
        <w:pStyle w:val="null3"/>
        <w:jc w:val="center"/>
        <w:outlineLvl w:val="5"/>
      </w:pPr>
      <w:r>
        <w:rPr>
          <w:rFonts w:ascii="仿宋_GB2312" w:hAnsi="仿宋_GB2312" w:cs="仿宋_GB2312" w:eastAsia="仿宋_GB2312"/>
          <w:sz w:val="15"/>
          <w:b/>
        </w:rPr>
        <w:t>陕西正园工程项目管理有限公司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华阴市国有资产中心</w:t>
      </w:r>
      <w:r>
        <w:rPr>
          <w:rFonts w:ascii="仿宋_GB2312" w:hAnsi="仿宋_GB2312" w:cs="仿宋_GB2312" w:eastAsia="仿宋_GB2312"/>
        </w:rPr>
        <w:t>委托，拟对</w:t>
      </w:r>
      <w:r>
        <w:rPr>
          <w:rFonts w:ascii="仿宋_GB2312" w:hAnsi="仿宋_GB2312" w:cs="仿宋_GB2312" w:eastAsia="仿宋_GB2312"/>
        </w:rPr>
        <w:t>华阴市公务用车信息化管理服务平台技术运行维护服务项目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SXZYXM2025-38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华阴市公务用车信息化管理服务平台技术运行维护服务项目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对华阴市公务用车信息化管理服务平台的车辆进行平台运行维护服务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采购包1（华阴市公务用车信息化管理服务平台技术运行维护服务项目）：属于专门面向中小企业采购。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1、具有独立承担民事责任能力的法人、其他组织或自然人：（1）提供合法有效的统一社会信用代码营业执照（事业单位法人证书/专业服务机构执业许可证/民办非企业单位登记证书，自然人提供身份证）；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授权委托书：供应商应授权合法的人员参加开标全过程，其中法定代表人直接参加开标的，须出具法人身份证原件，并与营业执照信息一致。法定代表人授权代表参加开标的，须出具法定代表人授权书（附法定代表人、被授权人身份证复印件）</w:t>
      </w:r>
    </w:p>
    <w:p>
      <w:pPr>
        <w:pStyle w:val="null3"/>
      </w:pPr>
      <w:r>
        <w:rPr>
          <w:rFonts w:ascii="仿宋_GB2312" w:hAnsi="仿宋_GB2312" w:cs="仿宋_GB2312" w:eastAsia="仿宋_GB2312"/>
        </w:rPr>
        <w:t>3、具有健全的财务制度：提供2024年度经审计的财务报告（至少包括资产负债表和利润表；成立时间至提交谈判响应文件截止时间不足一年的可提供成立后任意时段的资产负债表）或开标前六个月内其基本账户银行出具的资信证明，以上两种形式选择一种方式即可</w:t>
      </w:r>
    </w:p>
    <w:p>
      <w:pPr>
        <w:pStyle w:val="null3"/>
      </w:pPr>
      <w:r>
        <w:rPr>
          <w:rFonts w:ascii="仿宋_GB2312" w:hAnsi="仿宋_GB2312" w:cs="仿宋_GB2312" w:eastAsia="仿宋_GB2312"/>
        </w:rPr>
        <w:t>4、税收缴纳证明：提供谈判截止时间前六个月内，至少一个月已缴纳的纳税证明或完税证明，依法免税的供应商应提供相关证明材料；</w:t>
      </w:r>
    </w:p>
    <w:p>
      <w:pPr>
        <w:pStyle w:val="null3"/>
      </w:pPr>
      <w:r>
        <w:rPr>
          <w:rFonts w:ascii="仿宋_GB2312" w:hAnsi="仿宋_GB2312" w:cs="仿宋_GB2312" w:eastAsia="仿宋_GB2312"/>
        </w:rPr>
        <w:t>5、社会保障资金缴纳证明：提供谈判截止日前六个月内已缴存的至少一个月的社会保障资金缴存单据或社保机构开具的社会保险参保缴费情况证明，依法不需要缴纳社会保障资金的单位应提供相关证明材料；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7、近3年没有重大违法记录：提供参加政府采购活动前3年内在经营活动中没有重大违法记录的书面声明</w:t>
      </w:r>
    </w:p>
    <w:p>
      <w:pPr>
        <w:pStyle w:val="null3"/>
      </w:pPr>
      <w:r>
        <w:rPr>
          <w:rFonts w:ascii="仿宋_GB2312" w:hAnsi="仿宋_GB2312" w:cs="仿宋_GB2312" w:eastAsia="仿宋_GB2312"/>
        </w:rPr>
        <w:t>8、信誉要求：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代理机构现场核查）</w:t>
      </w:r>
    </w:p>
    <w:p>
      <w:pPr>
        <w:pStyle w:val="null3"/>
      </w:pPr>
      <w:r>
        <w:rPr>
          <w:rFonts w:ascii="仿宋_GB2312" w:hAnsi="仿宋_GB2312" w:cs="仿宋_GB2312" w:eastAsia="仿宋_GB2312"/>
        </w:rPr>
        <w:t>9、单位负责人为同一人或者存在直接控股、管理关系的不同供应商，不得参与同一合同项下的政府采购活动：单位负责人为同一人或者存在直接控股、管理关系的不同供应商，不得参与同一合同项下的政府采购活动，提供承诺书及控股管理关系图</w:t>
      </w:r>
    </w:p>
    <w:p>
      <w:pPr>
        <w:pStyle w:val="null3"/>
      </w:pPr>
      <w:r>
        <w:rPr>
          <w:rFonts w:ascii="仿宋_GB2312" w:hAnsi="仿宋_GB2312" w:cs="仿宋_GB2312" w:eastAsia="仿宋_GB2312"/>
        </w:rPr>
        <w:t>10、非联合体谈判：提供非联合体投标承诺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华阴市国有资产中心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华阴市国有资产中心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0913-4364555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西安市曲江新区雁翔路旺座曲江L座15层1506室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华阴市国有资产中心</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华阴市国有资产中心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符合国家及行业相关规范要求，满足采购人要求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对华阴市公务用车信息化管理服务平台车辆进行平台运行维护服务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对华阴市公务用车信息化管理服务平台车辆进行平台运行维护服务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标的名称：对华阴市公务用车信息化管理服务平台车辆进行平台运行维护服务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中央车改办连续印发《关于进一步加强公务用车平台建设的通知》、《关于完善配套政策持续巩固公车改革成果的通知》、《关于加快公车改革取消车辆处置工作的通知》，要求各级地方政府建设车辆管理平台。</w:t>
            </w:r>
          </w:p>
          <w:p>
            <w:pPr>
              <w:pStyle w:val="null3"/>
              <w:ind w:firstLine="480"/>
              <w:jc w:val="both"/>
            </w:pPr>
            <w:r>
              <w:rPr>
                <w:rFonts w:ascii="仿宋_GB2312" w:hAnsi="仿宋_GB2312" w:cs="仿宋_GB2312" w:eastAsia="仿宋_GB2312"/>
                <w:sz w:val="24"/>
              </w:rPr>
              <w:t>为落实中改办指示，保障</w:t>
            </w:r>
            <w:r>
              <w:rPr>
                <w:rFonts w:ascii="仿宋_GB2312" w:hAnsi="仿宋_GB2312" w:cs="仿宋_GB2312" w:eastAsia="仿宋_GB2312"/>
                <w:sz w:val="24"/>
              </w:rPr>
              <w:t>全市</w:t>
            </w:r>
            <w:r>
              <w:rPr>
                <w:rFonts w:ascii="仿宋_GB2312" w:hAnsi="仿宋_GB2312" w:cs="仿宋_GB2312" w:eastAsia="仿宋_GB2312"/>
                <w:sz w:val="24"/>
              </w:rPr>
              <w:t>各部门正常的公务出行，政府单位公务车需实行集中统一管理，实现</w:t>
            </w:r>
            <w:r>
              <w:rPr>
                <w:rFonts w:ascii="仿宋_GB2312" w:hAnsi="仿宋_GB2312" w:cs="仿宋_GB2312" w:eastAsia="仿宋_GB2312"/>
                <w:sz w:val="24"/>
              </w:rPr>
              <w:t>“管理平台化、平台信息化、车辆标识化”，建立统一管理模式，做到“便捷派车、高效用车、透明管车、有效督车”。在此背景下，华阴市公务用车信息化平台服务项目按照中省车改办文件精神，将车改后保留车辆纳入统一平台管理，以满足公务用车信息化平台自身管理的要求和“全市一张网”的需求，同时又保证满足与陕西省现有系统软件平台的无缝对接和硬件设备的融合，数据互联互通，以达到省市级文件“全省一张网”、“全市一张网”建设精神要求。</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维护的范围包括网络、服务器及数据的日常运维；对系统及服务器漏洞扫描与防护；对系统功能的完善及升级；对硬件设备的维护保养；对短信平台服务、物联网</w:t>
            </w:r>
            <w:r>
              <w:rPr>
                <w:rFonts w:ascii="仿宋_GB2312" w:hAnsi="仿宋_GB2312" w:cs="仿宋_GB2312" w:eastAsia="仿宋_GB2312"/>
                <w:sz w:val="24"/>
              </w:rPr>
              <w:t>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北斗定位终端拆除、改装、维修、定期巡检、维护保养、设备系统升级。</w:t>
            </w:r>
          </w:p>
          <w:p>
            <w:pPr>
              <w:pStyle w:val="null3"/>
              <w:ind w:firstLine="482"/>
              <w:jc w:val="both"/>
            </w:pPr>
            <w:r>
              <w:rPr>
                <w:rFonts w:ascii="仿宋_GB2312" w:hAnsi="仿宋_GB2312" w:cs="仿宋_GB2312" w:eastAsia="仿宋_GB2312"/>
                <w:sz w:val="24"/>
                <w:b/>
              </w:rPr>
              <w:t>三、商务要求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w:t>
            </w:r>
            <w:r>
              <w:rPr>
                <w:rFonts w:ascii="仿宋_GB2312" w:hAnsi="仿宋_GB2312" w:cs="仿宋_GB2312" w:eastAsia="仿宋_GB2312"/>
                <w:sz w:val="24"/>
              </w:rPr>
              <w:t>1</w:t>
            </w:r>
            <w:r>
              <w:rPr>
                <w:rFonts w:ascii="仿宋_GB2312" w:hAnsi="仿宋_GB2312" w:cs="仿宋_GB2312" w:eastAsia="仿宋_GB2312"/>
                <w:sz w:val="24"/>
              </w:rPr>
              <w:t>年（本次采用一次招标沿用三年方式，合同一年一签，</w:t>
            </w:r>
            <w:r>
              <w:rPr>
                <w:rFonts w:ascii="仿宋_GB2312" w:hAnsi="仿宋_GB2312" w:cs="仿宋_GB2312" w:eastAsia="仿宋_GB2312"/>
                <w:sz w:val="24"/>
              </w:rPr>
              <w:t>可续两年，</w:t>
            </w:r>
            <w:r>
              <w:rPr>
                <w:rFonts w:ascii="仿宋_GB2312" w:hAnsi="仿宋_GB2312" w:cs="仿宋_GB2312" w:eastAsia="仿宋_GB2312"/>
                <w:sz w:val="24"/>
              </w:rPr>
              <w:t>一年合同期满后，无重大失误且能够满足服务需求，合同可续签）。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质量要求：符合国家及行业相关规范要求，满足采购人要求。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付款方式：</w:t>
            </w:r>
            <w:r>
              <w:rPr>
                <w:rFonts w:ascii="仿宋_GB2312" w:hAnsi="仿宋_GB2312" w:cs="仿宋_GB2312" w:eastAsia="仿宋_GB2312"/>
                <w:sz w:val="24"/>
              </w:rPr>
              <w:t>一年服务期满后，甲方根据乙方实际提供的服务内容以及车辆数量据实结算</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满足日常维护要求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满足日常维护要求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1年（本次采用一次招标沿用三年方式，合同一年一签，可续两年，一年合同期满后，无重大失误且能够满足服务需求，合同可续签）。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一年服务期满后，甲方根据乙方实际提供的服务内容以及车辆数量据实结算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符合国家及行业相关规范要求，满足采购人要求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合同执行中发生争议的，当事人双方应协商解决，协商达不成一致时，提交采购人所在地人民法院诉讼。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（一）本项目所属行业为：软件和信息技术服务业。根据《工业和信息化部、国家统计局、国家发展和改革委员会、财政部关于印发中小企业划型标准规定的通知》《工信部联企业(2011)300 号)规定的划分标准，从业人员300人以下或营业收入10000万元以下的为中小微企业。其中，从业人员100人及以上，且营业收入1000万元及以上的为中型企业；从业人员10人及以上，且营业收入50万元及以上的为小型企业；从业人员10人及以下或营业收入50万元以下的为微型企业。 （二）、成交供应商在领取成交通知书前，需向采购代理机构提交加盖公章的纸质版响应文件二套，成交供应商应保持响应文件纸质版内容与系统上传内容完全一致，否则将承担一切法律责任。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（1）提供合法有效的统一社会信用代码营业执照（事业单位法人证书/专业服务机构执业许可证/民办非企业单位登记证书，自然人提供身份证）；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开标全过程，其中法定代表人直接参加开标的，须出具法人身份证原件，并与营业执照信息一致。法定代表人授权代表参加开标的，须出具法定代表人授权书（附法定代表人、被授权人身份证复印件）</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具有健全的财务制度</w:t>
            </w:r>
          </w:p>
        </w:tc>
        <w:tc>
          <w:tcPr>
            <w:tcW w:type="dxa" w:w="3322"/>
          </w:tcPr>
          <w:p>
            <w:pPr>
              <w:pStyle w:val="null3"/>
            </w:pPr>
            <w:r>
              <w:rPr>
                <w:rFonts w:ascii="仿宋_GB2312" w:hAnsi="仿宋_GB2312" w:cs="仿宋_GB2312" w:eastAsia="仿宋_GB2312"/>
              </w:rPr>
              <w:t>提供2024年度经审计的财务报告（至少包括资产负债表和利润表；成立时间至提交谈判响应文件截止时间不足一年的可提供成立后任意时段的资产负债表）或开标前六个月内其基本账户银行出具的资信证明，以上两种形式选择一种方式即可</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提供谈判截止时间前六个月内，至少一个月已缴纳的纳税证明或完税证明，依法免税的供应商应提供相关证明材料；</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近3年没有重大违法记录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代理机构现场核查）</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单位负责人为同一人或者存在直接控股、管理关系的不同供应商，不得参与同一合同项下的政府采购活动，提供承诺书及控股管理关系图</w:t>
            </w:r>
          </w:p>
        </w:tc>
        <w:tc>
          <w:tcPr>
            <w:tcW w:type="dxa" w:w="1661"/>
          </w:tcPr>
          <w:p>
            <w:pPr>
              <w:pStyle w:val="null3"/>
            </w:pPr>
            <w:r>
              <w:rPr>
                <w:rFonts w:ascii="仿宋_GB2312" w:hAnsi="仿宋_GB2312" w:cs="仿宋_GB2312" w:eastAsia="仿宋_GB2312"/>
              </w:rPr>
              <w:t>供应商资格证明资料文件.docx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非联合体谈判</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供应商资格证明资料文件.docx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单一来源响应文件签署、盖章满足采购文件的要求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供应商资格证明资料文件.docx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服务内容及服务邀请应答表 商务应答表 供应商承诺书.docx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详见附件：供应商资格证明资料文件.docx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