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版本号：SXZYXM2025-4720250910002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孟塬派出所提升改造项目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SXZYXM2025-47</w:t>
      </w:r>
      <w:r>
        <w:br/>
      </w:r>
      <w:r>
        <w:br/>
      </w:r>
      <w:r>
        <w:br/>
      </w:r>
    </w:p>
    <w:p>
      <w:pPr>
        <w:pStyle w:val="null3"/>
        <w:jc w:val="center"/>
        <w:outlineLvl w:val="2"/>
      </w:pPr>
      <w:r>
        <w:rPr>
          <w:rFonts w:ascii="仿宋_GB2312" w:hAnsi="仿宋_GB2312" w:cs="仿宋_GB2312" w:eastAsia="仿宋_GB2312"/>
          <w:sz w:val="28"/>
          <w:b/>
        </w:rPr>
        <w:t>华阴市公安局</w:t>
      </w:r>
    </w:p>
    <w:p>
      <w:pPr>
        <w:pStyle w:val="null3"/>
        <w:jc w:val="center"/>
        <w:outlineLvl w:val="2"/>
      </w:pPr>
      <w:r>
        <w:rPr>
          <w:rFonts w:ascii="仿宋_GB2312" w:hAnsi="仿宋_GB2312" w:cs="仿宋_GB2312" w:eastAsia="仿宋_GB2312"/>
          <w:sz w:val="28"/>
          <w:b/>
        </w:rPr>
        <w:t>陕西正园工程项目管理有限公司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陕西正园工程项目管理有限公司</w:t>
      </w:r>
      <w:r>
        <w:rPr>
          <w:rFonts w:ascii="仿宋_GB2312" w:hAnsi="仿宋_GB2312" w:cs="仿宋_GB2312" w:eastAsia="仿宋_GB2312"/>
        </w:rPr>
        <w:t>（以下简称“代理机构”）受</w:t>
      </w:r>
      <w:r>
        <w:rPr>
          <w:rFonts w:ascii="仿宋_GB2312" w:hAnsi="仿宋_GB2312" w:cs="仿宋_GB2312" w:eastAsia="仿宋_GB2312"/>
        </w:rPr>
        <w:t>华阴市公安局</w:t>
      </w:r>
      <w:r>
        <w:rPr>
          <w:rFonts w:ascii="仿宋_GB2312" w:hAnsi="仿宋_GB2312" w:cs="仿宋_GB2312" w:eastAsia="仿宋_GB2312"/>
        </w:rPr>
        <w:t>委托，拟对</w:t>
      </w:r>
      <w:r>
        <w:rPr>
          <w:rFonts w:ascii="仿宋_GB2312" w:hAnsi="仿宋_GB2312" w:cs="仿宋_GB2312" w:eastAsia="仿宋_GB2312"/>
        </w:rPr>
        <w:t>孟塬派出所提升改造项目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SXZYXM2025-47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孟塬派出所提升改造项目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对孟塬派出所进行提升改造，涉及生活区和办公区修缮等工程。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采购包1（孟塬派出所提升改造项目）：属于专门面向中小企业采购。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1、营业执照等主体资格证明文件：供应商应具有独立承担民事责任的能力且具备向采购人提供企业法人、其他组织,企业法人应提供统一社会信用代码的营业执照；其他组织应提供合法证明文件；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2、供应商授权合法的人员参加磋商全过程：法定代表人授权委托书（附法定代表人身份证复印件）及被授权委托人身份证（法定代表人参加磋商只须提供法定代表人身份证）；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供应商任选其一进行提供；</w:t>
      </w:r>
    </w:p>
    <w:p>
      <w:pPr>
        <w:pStyle w:val="null3"/>
      </w:pPr>
      <w:r>
        <w:rPr>
          <w:rFonts w:ascii="仿宋_GB2312" w:hAnsi="仿宋_GB2312" w:cs="仿宋_GB2312" w:eastAsia="仿宋_GB2312"/>
        </w:rPr>
        <w:t>4、社会保障资金缴纳证明：提供递交截止时间前6个月内任意一个月的社会保障资金缴存单据或社保机构开具的社会保险参保缴费情况证明，依法不需要缴纳社会保障资金的单位应提供相关证明材料；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5、税收缴纳证明：提供递交截止时间前6个月内任意一个月的缴费凭据，依法免税的单位应提供相关证明材料；</w:t>
      </w:r>
    </w:p>
    <w:p>
      <w:pPr>
        <w:pStyle w:val="null3"/>
      </w:pPr>
      <w:r>
        <w:rPr>
          <w:rFonts w:ascii="仿宋_GB2312" w:hAnsi="仿宋_GB2312" w:cs="仿宋_GB2312" w:eastAsia="仿宋_GB2312"/>
        </w:rPr>
        <w:t>6、具有履行合同所必需的设备和专业技术能力：具有履行合同所必需的设备和专业技术能力，提供承诺书。</w:t>
      </w:r>
    </w:p>
    <w:p>
      <w:pPr>
        <w:pStyle w:val="null3"/>
      </w:pPr>
      <w:r>
        <w:rPr>
          <w:rFonts w:ascii="仿宋_GB2312" w:hAnsi="仿宋_GB2312" w:cs="仿宋_GB2312" w:eastAsia="仿宋_GB2312"/>
        </w:rPr>
        <w:t>7、参加政府采购活动前三年内，在经营活动中没有重大违法记录：提供参加政府采购活动前3年内在经营活动中没有重大违法记录的书面声明；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8、资质条件：供应商应具有建筑工程施工总承包三级及以上资质，具有有效的安全生产许可证。提供资质证书及安全生产许可证复印件。</w:t>
      </w:r>
    </w:p>
    <w:p>
      <w:pPr>
        <w:pStyle w:val="null3"/>
      </w:pPr>
      <w:r>
        <w:rPr>
          <w:rFonts w:ascii="仿宋_GB2312" w:hAnsi="仿宋_GB2312" w:cs="仿宋_GB2312" w:eastAsia="仿宋_GB2312"/>
        </w:rPr>
        <w:t>9、拟派项目经理：拟派项目经理须具备建筑工程专业二级及以上注册建造师证书和有效的安全生产考核合格证，在本单位注册且无在建工程（提供无在建工程承诺书）；</w:t>
      </w:r>
    </w:p>
    <w:p>
      <w:pPr>
        <w:pStyle w:val="null3"/>
      </w:pPr>
      <w:r>
        <w:rPr>
          <w:rFonts w:ascii="仿宋_GB2312" w:hAnsi="仿宋_GB2312" w:cs="仿宋_GB2312" w:eastAsia="仿宋_GB2312"/>
        </w:rPr>
        <w:t>10、信用记录：未被列入“信用中国”网站记录的“失信被执行人”或“重大税收违法案件当事人”名单；不得为“中国政府采购网”记录的“政府采购严重违法失信行为记录名单”，提供网页截图，代理机构将对信用记录现场进行查询。（以评审现场查询记录为准）。</w:t>
      </w:r>
    </w:p>
    <w:p>
      <w:pPr>
        <w:pStyle w:val="null3"/>
      </w:pPr>
      <w:r>
        <w:rPr>
          <w:rFonts w:ascii="仿宋_GB2312" w:hAnsi="仿宋_GB2312" w:cs="仿宋_GB2312" w:eastAsia="仿宋_GB2312"/>
        </w:rPr>
        <w:t>11、投标承诺：单位负责人为同一人或者存在直接控股、管理关系的不同供应商，不得参加同一合同项下的政府采购活动（提供控股管理关系清单）</w:t>
      </w:r>
    </w:p>
    <w:p>
      <w:pPr>
        <w:pStyle w:val="null3"/>
      </w:pPr>
      <w:r>
        <w:rPr>
          <w:rFonts w:ascii="仿宋_GB2312" w:hAnsi="仿宋_GB2312" w:cs="仿宋_GB2312" w:eastAsia="仿宋_GB2312"/>
        </w:rPr>
        <w:t>12、非联合体磋商：提供非联合体磋商声明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华阴市东岳路东段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15877330933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陕西正园工程项目管理有限公司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西安市曲江新区雁翔路旺座曲江L座15层1506室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钮依宁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029-89557177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何涛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13759656664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采购包1：2,593,348.18元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开户名称：陕西正园工程项目管理有限公司</w:t>
            </w:r>
          </w:p>
          <w:p>
            <w:pPr>
              <w:pStyle w:val="null3"/>
            </w:pPr>
            <w:r>
              <w:rPr>
                <w:rFonts w:ascii="仿宋_GB2312" w:hAnsi="仿宋_GB2312" w:cs="仿宋_GB2312" w:eastAsia="仿宋_GB2312"/>
              </w:rPr>
              <w:t>开户银行：上海浦东发展银行股份有限公司西安金滹沱一路支行</w:t>
            </w:r>
          </w:p>
          <w:p>
            <w:pPr>
              <w:pStyle w:val="null3"/>
            </w:pPr>
            <w:r>
              <w:rPr>
                <w:rFonts w:ascii="仿宋_GB2312" w:hAnsi="仿宋_GB2312" w:cs="仿宋_GB2312" w:eastAsia="仿宋_GB2312"/>
              </w:rPr>
              <w:t>银行账号：72190078801000001349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本采购项目代理服务费参照国家计委颁发的《招标代理服务收费管理暂行办法》(计价格[2002]1980号)和国家发展改革委员会办公厅颁发的《关于招标代理服务收费有关问题的通知》(发改办价格[2003]857号)及发改价格【2011】534的有关规定执行，由中标人向采购代理机构一次付清招标代理服务费。 代理费用由投标人自行考虑包含在投标报价中，费用可不单列。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华阴市公安局</w:t>
      </w:r>
      <w:r>
        <w:rPr>
          <w:rFonts w:ascii="仿宋_GB2312" w:hAnsi="仿宋_GB2312" w:cs="仿宋_GB2312" w:eastAsia="仿宋_GB2312"/>
        </w:rPr>
        <w:t>和</w:t>
      </w:r>
      <w:r>
        <w:rPr>
          <w:rFonts w:ascii="仿宋_GB2312" w:hAnsi="仿宋_GB2312" w:cs="仿宋_GB2312" w:eastAsia="仿宋_GB2312"/>
        </w:rPr>
        <w:t>陕西正园工程项目管理有限公司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陕西正园工程项目管理有限公司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陕西正园工程项目管理有限公司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按国家或行业相关规定执行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联系人：钮依宁</w:t>
      </w:r>
    </w:p>
    <w:p>
      <w:pPr>
        <w:pStyle w:val="null3"/>
      </w:pPr>
      <w:r>
        <w:rPr>
          <w:rFonts w:ascii="仿宋_GB2312" w:hAnsi="仿宋_GB2312" w:cs="仿宋_GB2312" w:eastAsia="仿宋_GB2312"/>
        </w:rPr>
        <w:t>联系电话： 029-89557177</w:t>
      </w:r>
    </w:p>
    <w:p>
      <w:pPr>
        <w:pStyle w:val="null3"/>
      </w:pPr>
      <w:r>
        <w:rPr>
          <w:rFonts w:ascii="仿宋_GB2312" w:hAnsi="仿宋_GB2312" w:cs="仿宋_GB2312" w:eastAsia="仿宋_GB2312"/>
        </w:rPr>
        <w:t>地址：西安市曲江新区雁翔路旺座曲江L座15层1506室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2,593,348.18</w:t>
      </w:r>
    </w:p>
    <w:p>
      <w:pPr>
        <w:pStyle w:val="null3"/>
      </w:pPr>
      <w:r>
        <w:rPr>
          <w:rFonts w:ascii="仿宋_GB2312" w:hAnsi="仿宋_GB2312" w:cs="仿宋_GB2312" w:eastAsia="仿宋_GB2312"/>
        </w:rPr>
        <w:t>采购包最高限价（元）: 2,593,348.18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孟塬派出所提升改造项目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2,593,348.18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标的名称：孟塬派出所提升改造项目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0"/>
              </w:rPr>
              <w:t>一、商务要求</w:t>
            </w:r>
          </w:p>
          <w:p>
            <w:pPr>
              <w:pStyle w:val="null3"/>
            </w:pPr>
            <w:r>
              <w:rPr>
                <w:rFonts w:ascii="仿宋_GB2312" w:hAnsi="仿宋_GB2312" w:cs="仿宋_GB2312" w:eastAsia="仿宋_GB2312"/>
                <w:sz w:val="20"/>
              </w:rPr>
              <w:t>1、计划工期：150日历天</w:t>
            </w:r>
          </w:p>
          <w:p>
            <w:pPr>
              <w:pStyle w:val="null3"/>
            </w:pPr>
            <w:r>
              <w:rPr>
                <w:rFonts w:ascii="仿宋_GB2312" w:hAnsi="仿宋_GB2312" w:cs="仿宋_GB2312" w:eastAsia="仿宋_GB2312"/>
                <w:sz w:val="20"/>
              </w:rPr>
              <w:t>2、缺陷责任期：工程竣工验收合格之日起1年</w:t>
            </w:r>
          </w:p>
          <w:p>
            <w:pPr>
              <w:pStyle w:val="null3"/>
            </w:pPr>
            <w:r>
              <w:rPr>
                <w:rFonts w:ascii="仿宋_GB2312" w:hAnsi="仿宋_GB2312" w:cs="仿宋_GB2312" w:eastAsia="仿宋_GB2312"/>
                <w:sz w:val="20"/>
              </w:rPr>
              <w:t>3、付款方式</w:t>
            </w:r>
          </w:p>
          <w:p>
            <w:pPr>
              <w:pStyle w:val="null3"/>
            </w:pPr>
            <w:r>
              <w:rPr>
                <w:rFonts w:ascii="仿宋_GB2312" w:hAnsi="仿宋_GB2312" w:cs="仿宋_GB2312" w:eastAsia="仿宋_GB2312"/>
                <w:sz w:val="20"/>
              </w:rPr>
              <w:t>（1）承包人应在每月25日上报本月完成的工程量及其造价；</w:t>
            </w:r>
          </w:p>
          <w:p>
            <w:pPr>
              <w:pStyle w:val="null3"/>
            </w:pPr>
            <w:r>
              <w:rPr>
                <w:rFonts w:ascii="仿宋_GB2312" w:hAnsi="仿宋_GB2312" w:cs="仿宋_GB2312" w:eastAsia="仿宋_GB2312"/>
                <w:sz w:val="20"/>
              </w:rPr>
              <w:t>（2）当工程进度到达30%时，经发包人审定后，拨付签约合同总价款的30％；</w:t>
            </w:r>
          </w:p>
          <w:p>
            <w:pPr>
              <w:pStyle w:val="null3"/>
            </w:pPr>
            <w:r>
              <w:rPr>
                <w:rFonts w:ascii="仿宋_GB2312" w:hAnsi="仿宋_GB2312" w:cs="仿宋_GB2312" w:eastAsia="仿宋_GB2312"/>
                <w:sz w:val="20"/>
              </w:rPr>
              <w:t>（3）当工程进度到70%时，经发包人审定后，拨付至签约合同总价款的70％；</w:t>
            </w:r>
          </w:p>
          <w:p>
            <w:pPr>
              <w:pStyle w:val="null3"/>
            </w:pPr>
            <w:r>
              <w:rPr>
                <w:rFonts w:ascii="仿宋_GB2312" w:hAnsi="仿宋_GB2312" w:cs="仿宋_GB2312" w:eastAsia="仿宋_GB2312"/>
                <w:sz w:val="20"/>
              </w:rPr>
              <w:t>（4）工程竣工验收合格、竣工结算完成后 30 日内支付至合同总价款的97%，剩余 3%作为质量保修金；</w:t>
            </w:r>
          </w:p>
          <w:p>
            <w:pPr>
              <w:pStyle w:val="null3"/>
            </w:pPr>
            <w:r>
              <w:rPr>
                <w:rFonts w:ascii="仿宋_GB2312" w:hAnsi="仿宋_GB2312" w:cs="仿宋_GB2312" w:eastAsia="仿宋_GB2312"/>
                <w:sz w:val="20"/>
              </w:rPr>
              <w:t>（5）一年后工程无任何质量问题,由承包人提出申请,发包人确认后，支付剩余3%质量保修金；</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本工程按国家和陕西省现行质量评定标准和施工技术验收规范执行，在工程施工期间颁布新规范或新版本适用本工程的需遵照执行。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供应商所报价格应考虑到可能发生的所有与完成本项目有关的一切费用。磋商报价是供应商为完成本次磋商所要求的货物、服务及工程且验收合格的所有费用，包括但不限于投标人完成本项目所需的人工费、材料费、设备费、管理费、验收费、利润和税金等所产生的全部费用。任何有选择的报价将不予接受，按无效磋商处理。 （二）由供应商自行承担因现场踏勘而产生的费用及安全。（三）本项目所属行业为：建筑业。根据《工业和信息化部、国家统计局、国家发展和改革委员会、财政部关于印发中小企业划型标准规定的通知》《工信部联企业(2011)300 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四）、成交供应商在领取成交通知书前，需向采购代理机构提交加盖公章的纸质版响应文件二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供应商应具有独立承担民事责任的能力且具备向采购人提供企业法人、其他组织,企业法人应提供统一社会信用代码的营业执照；其他组织应提供合法证明文件；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供应商任选其一进行提供；</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具有履行合同所必需的设备和专业技术能力，提供承诺书。</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供应商应具有建筑工程施工总承包三级及以上资质，具有有效的安全生产许可证。提供资质证书及安全生产许可证复印件。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拟派项目经理须具备建筑工程专业二级及以上注册建造师证书和有效的安全生产考核合格证，在本单位注册且无在建工程（提供无在建工程承诺书）；</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记录的“失信被执行人”或“重大税收违法案件当事人”名单；不得为“中国政府采购网”记录的“政府采购严重违法失信行为记录名单”，提供网页截图，代理机构将对信用记录现场进行查询。（以评审现场查询记录为准）。</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单位负责人为同一人或者存在直接控股、管理关系的不同供应商，不得参加同一合同项下的政府采购活动（提供控股管理关系清单）</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w:t>
            </w:r>
          </w:p>
        </w:tc>
        <w:tc>
          <w:tcPr>
            <w:tcW w:type="dxa" w:w="1661"/>
          </w:tcPr>
          <w:p>
            <w:pPr>
              <w:pStyle w:val="null3"/>
            </w:pPr>
            <w:r>
              <w:rPr>
                <w:rFonts w:ascii="仿宋_GB2312" w:hAnsi="仿宋_GB2312" w:cs="仿宋_GB2312" w:eastAsia="仿宋_GB2312"/>
              </w:rPr>
              <w:t>承诺书.docx 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供应商名称与营业执照，资质证书，安全生产许可证一致。</w:t>
            </w:r>
          </w:p>
        </w:tc>
        <w:tc>
          <w:tcPr>
            <w:tcW w:type="dxa" w:w="1661"/>
          </w:tcPr>
          <w:p>
            <w:pPr>
              <w:pStyle w:val="null3"/>
            </w:pPr>
            <w:r>
              <w:rPr>
                <w:rFonts w:ascii="仿宋_GB2312" w:hAnsi="仿宋_GB2312" w:cs="仿宋_GB2312" w:eastAsia="仿宋_GB2312"/>
              </w:rPr>
              <w:t>响应文件封面 响应函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响应文件封面 已标价工程量清单 报价函 技术服务合同条款及其他商务要求应答表 响应函 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满足磋商文件中要求的工期</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报价评审</w:t>
            </w:r>
          </w:p>
        </w:tc>
        <w:tc>
          <w:tcPr>
            <w:tcW w:type="dxa" w:w="2492"/>
          </w:tcPr>
          <w:p>
            <w:pPr>
              <w:pStyle w:val="null3"/>
            </w:pPr>
            <w:r>
              <w:rPr>
                <w:rFonts w:ascii="仿宋_GB2312" w:hAnsi="仿宋_GB2312" w:cs="仿宋_GB2312" w:eastAsia="仿宋_GB2312"/>
              </w:rPr>
              <w:t>1.磋商报价得分=（磋商基准价/最后磋商报价）×30分； 2.满足磋商文件要求且最后报价最低的供应商的价格为磋商基准价。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r>
        <w:tc>
          <w:tcPr>
            <w:tcW w:type="dxa" w:w="831"/>
            <w:vMerge/>
          </w:tcPr>
          <w:p/>
        </w:tc>
        <w:tc>
          <w:tcPr>
            <w:tcW w:type="dxa" w:w="1661"/>
          </w:tcPr>
          <w:p>
            <w:pPr>
              <w:pStyle w:val="null3"/>
            </w:pPr>
            <w:r>
              <w:rPr>
                <w:rFonts w:ascii="仿宋_GB2312" w:hAnsi="仿宋_GB2312" w:cs="仿宋_GB2312" w:eastAsia="仿宋_GB2312"/>
              </w:rPr>
              <w:t>项目重难点分析与解决</w:t>
            </w:r>
          </w:p>
        </w:tc>
        <w:tc>
          <w:tcPr>
            <w:tcW w:type="dxa" w:w="2492"/>
          </w:tcPr>
          <w:p>
            <w:pPr>
              <w:pStyle w:val="null3"/>
            </w:pPr>
            <w:r>
              <w:rPr>
                <w:rFonts w:ascii="仿宋_GB2312" w:hAnsi="仿宋_GB2312" w:cs="仿宋_GB2312" w:eastAsia="仿宋_GB2312"/>
              </w:rPr>
              <w:t>一、评审内容 对本项目提供完整的建设方案，包括①项目需求现状及建设重难点分析；②项目重点难点的技术建议。 二、评审标准 1、完整性：方案必须全面，对评审内容中的各项要求有详细描述； 2、可实施性：切合本项目实际情况，提出步骤清晰、合理的方案； 3、针对性：方案能够紧扣项目实际情况，内容科学合理。 三、赋分标准（满分6分） ①项目需求现状及建设重难点分析：每完全满足一个评审标准得1分，满分3分； ②项目重点难点的技术建议：每完全满足一个评审标准得1分，满分3分。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包含成本目标、工期目标及质量目标②施工准备：包含技术准备、材料准备、机械准备及机具准备③施工安排：包含现场围挡及出入口管理、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供应商针对本项目编制完善的进度计划，内容包含：①项目总进度：包含施工及采购分项节点控制及进度计划安排②进度保障措施。 二、评审标准 1、完整性：方案必须全面，对评审内容中的各项要求有详细描述； 2、可实施性：切合本项目实际情况，提出步骤清晰、合理的方案； 3、针对性：方案能够紧扣项目实际情况，内容科学合理。 三、赋分标准（满分6分） ①项目总进度：每完全满足一个评审标准得1分，满分3分； ②进度保障措施：每完全满足一个评审标准得1分，满分3分。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①新材料的应用情况：每完全满足一个评审标准得0.5分，满分1.5分； ②新技术和新工艺的应用情况：每完全满足一个评审标准得0.5分，满分1.5分。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建设效果</w:t>
            </w:r>
          </w:p>
        </w:tc>
        <w:tc>
          <w:tcPr>
            <w:tcW w:type="dxa" w:w="2492"/>
          </w:tcPr>
          <w:p>
            <w:pPr>
              <w:pStyle w:val="null3"/>
            </w:pPr>
            <w:r>
              <w:rPr>
                <w:rFonts w:ascii="仿宋_GB2312" w:hAnsi="仿宋_GB2312" w:cs="仿宋_GB2312" w:eastAsia="仿宋_GB2312"/>
              </w:rPr>
              <w:t>一、评审内容 针对本项目的建设需求进行规划，提供建设效果及规划展示，包括①效果图②平面规划图。 二、评审标准 1、完整性：内容必须全面，对评审内容中的各项要求有详细规划； 2、可实施性：切合本项目实际情况，提出清晰、合理的图纸； 3、针对性：内容能够紧扣项目实际情况，内容科学合理。 三、赋分标准（满分9分） ①效果图：每完全满足一个评审标准得1.5分，满分4.5分； ②平面规划图：每完全满足一个评审标准得1.5分，满分4.5分；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供应商针对本项目工程编制完善的质量保证措施，内容包含：①质量目标管理体系②施工质量检验制度③技术组织措施④材料储存方案。 二、评审标准 1、完整性：方案必须全面，对评审内容中的各项要求有详细描述； 2、可实施性：切合本项目实际情况，提出步骤清晰、合理的方案； 3、针对性：方案能够紧扣项目实际情况，内容科学合理。 三、赋分标准（满分12分） ①质量目标管理体系：每完全满足一个评审标准得1分，满分3分； ②施工质量检验制度：每完全满足一个评审标准得1分，满分3分； ③技术组织措施：每完全满足一个评审标准得1分，满分3分； ④材料储存方案：每完全满足一个评审标准得1分，满分3分。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三、赋分标准（满分6分）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供应商针对本项目编制完整的安全施工措施，内容包含：①安全管理体系②安全责任归属划分③安全教育及防护：安全教育培训、施工人员安全警示服和安全帽穿配要求。 二、评审标准 1、完整性：方案必须全面，对评审内容中的各项要求有详细描述； 2、可实施性：切合本项目实际情况，提出步骤清晰、合理的方案； 3、针对性：方案能够紧扣项目实际情况，内容科学合理。 三、赋分标准（满分4.5分） ①安全管理体系：每完全满足一个评审标准得0.5分，满分1.5分； ②安全责任归属划分：每完全满足一个评审标准得0.5分，满分1.5分； ③安全教育及防护：每完全满足一个评审标准得0.5分，满分1.5分；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针对本项目提供资源配置计划，内容包含：①拟投入的主要施工机械设备计划②主要材料进场计划③劳动力投入计划。 二、评审标准 1、完整性：方案须全面，对评审内容中的各项要求有详细描述及说明； 2、可实施性：切合本项目实际情况，实施步骤清晰、合理； 3、针对性：方案能够紧扣项目实际情况，内容科学合理。 三、赋分标准（满分4.5分） ①拟投入的主要施工机械设备计划：每完全满足一个评审标准得0.5分，满分1.5分； ②主要材料进场计划：每完全满足一个评审标准得0.5分，满分1.5分； ③劳动力投入计划：每完全满足一个评审标准得0.5分，满分1.5分。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针对本项目编制科学的项目管理机构，拟派的人员配备清单（至少包含具体成员姓名、年龄、职业资格证书、从业工作年限、岗位），得6分。缺少证书一人扣一分，扣完为止。缺项不得分。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提供2020年8月至今类似工程项目业绩，以合同签订时间为准，每提供一份业绩得2分，满分4分。 注：（1）以合同或者中标通知书为准，复印件清楚有效加盖公章，否则不作为评审依据。 （2）同一工程有多个标段符合要求的，只按一个计分。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详见附件：磋商技术方案.docx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详见附件：技术服务合同条款及其他商务要求应答表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