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版本号：政采-华阴市-2026-0001020260128001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食堂原材料配送服务项目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政采-华阴市-2026-00010</w:t>
      </w:r>
      <w:r>
        <w:br/>
      </w:r>
      <w:r>
        <w:br/>
      </w:r>
      <w:r>
        <w:br/>
      </w:r>
    </w:p>
    <w:p>
      <w:pPr>
        <w:pStyle w:val="null3"/>
        <w:jc w:val="center"/>
        <w:outlineLvl w:val="2"/>
      </w:pPr>
      <w:r>
        <w:rPr>
          <w:rFonts w:ascii="仿宋_GB2312" w:hAnsi="仿宋_GB2312" w:cs="仿宋_GB2312" w:eastAsia="仿宋_GB2312"/>
          <w:sz w:val="28"/>
          <w:b/>
        </w:rPr>
        <w:t>华阴市消防救援大队（华阴市消防救援局）</w:t>
      </w:r>
    </w:p>
    <w:p>
      <w:pPr>
        <w:pStyle w:val="null3"/>
        <w:jc w:val="center"/>
        <w:outlineLvl w:val="2"/>
      </w:pPr>
      <w:r>
        <w:rPr>
          <w:rFonts w:ascii="仿宋_GB2312" w:hAnsi="仿宋_GB2312" w:cs="仿宋_GB2312" w:eastAsia="仿宋_GB2312"/>
          <w:sz w:val="28"/>
          <w:b/>
        </w:rPr>
        <w:t>华阴市政府采购中心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华阴市政府采购中心</w:t>
      </w:r>
      <w:r>
        <w:rPr>
          <w:rFonts w:ascii="仿宋_GB2312" w:hAnsi="仿宋_GB2312" w:cs="仿宋_GB2312" w:eastAsia="仿宋_GB2312"/>
        </w:rPr>
        <w:t>（以下简称“代理机构”）受</w:t>
      </w:r>
      <w:r>
        <w:rPr>
          <w:rFonts w:ascii="仿宋_GB2312" w:hAnsi="仿宋_GB2312" w:cs="仿宋_GB2312" w:eastAsia="仿宋_GB2312"/>
        </w:rPr>
        <w:t>华阴市消防救援大队（华阴市消防救援局）</w:t>
      </w:r>
      <w:r>
        <w:rPr>
          <w:rFonts w:ascii="仿宋_GB2312" w:hAnsi="仿宋_GB2312" w:cs="仿宋_GB2312" w:eastAsia="仿宋_GB2312"/>
        </w:rPr>
        <w:t>委托，拟对</w:t>
      </w:r>
      <w:r>
        <w:rPr>
          <w:rFonts w:ascii="仿宋_GB2312" w:hAnsi="仿宋_GB2312" w:cs="仿宋_GB2312" w:eastAsia="仿宋_GB2312"/>
        </w:rPr>
        <w:t>食堂原材料配送服务项目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政采-华阴市-2026-00010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食堂原材料配送服务项目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食堂原材料配送服务项目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采购包1（食堂原材料配送服务项目）：属于专门面向中小企业采购。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其基本开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4、社会保障资金缴纳证明：社会保障资金缴纳证明：提供2025年2月至今任意一个月的社保缴纳凭据或社保机构开具的社会保险参保缴纳情况证明；（依法不需要缴纳社会保障资金的投标人应提供相关证明）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2月至今任意一个月在本单位的社保资金缴纳凭证）；法定代表人直接参加磋商提供法定代表人资格证明书（附法定代表人身份证复印件）；采购文件凡是法定代表人之处，非法人单位的负责人均参照执行； (式样见竞争性磋商响应文件格式)</w:t>
      </w:r>
    </w:p>
    <w:p>
      <w:pPr>
        <w:pStyle w:val="null3"/>
      </w:pPr>
      <w:r>
        <w:rPr>
          <w:rFonts w:ascii="仿宋_GB2312" w:hAnsi="仿宋_GB2312" w:cs="仿宋_GB2312" w:eastAsia="仿宋_GB2312"/>
        </w:rPr>
        <w:t>8、供应商须具有有效的《食品经营许可证》，并提供生产厂家的《食品生产许可证》（米、面、油、奶）及《动物防疫条件合格证》（肉、蛋类）：供应商须具有有效的《食品经营许可证》，并提供生产厂家的《食品生产许可证》（米、面、油、奶）及《动物防疫条件合格证》（肉、蛋类）；</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华阴市消防救援大队（华阴市消防救援局）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华阴市太华路中段13号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耿秦凯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0913-4610119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华阴市政府采购中心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华阴市东岳路华阴市财政局政府采购中心508室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杜军刚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0913-8373765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采购包1：599,420.00元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华阴市消防救援大队（华阴市消防救援局）</w:t>
      </w:r>
      <w:r>
        <w:rPr>
          <w:rFonts w:ascii="仿宋_GB2312" w:hAnsi="仿宋_GB2312" w:cs="仿宋_GB2312" w:eastAsia="仿宋_GB2312"/>
        </w:rPr>
        <w:t>和</w:t>
      </w:r>
      <w:r>
        <w:rPr>
          <w:rFonts w:ascii="仿宋_GB2312" w:hAnsi="仿宋_GB2312" w:cs="仿宋_GB2312" w:eastAsia="仿宋_GB2312"/>
        </w:rPr>
        <w:t>华阴市政府采购中心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华阴市消防救援大队（华阴市消防救援局）</w:t>
      </w:r>
      <w:r>
        <w:rPr>
          <w:rFonts w:ascii="仿宋_GB2312" w:hAnsi="仿宋_GB2312" w:cs="仿宋_GB2312" w:eastAsia="仿宋_GB2312"/>
        </w:rPr>
        <w:t>负责解释。除上述磋商文件内容，其他内容由</w:t>
      </w:r>
      <w:r>
        <w:rPr>
          <w:rFonts w:ascii="仿宋_GB2312" w:hAnsi="仿宋_GB2312" w:cs="仿宋_GB2312" w:eastAsia="仿宋_GB2312"/>
        </w:rPr>
        <w:t>华阴市政府采购中心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华阴市消防救援大队（华阴市消防救援局）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华阴市政府采购中心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符合《中华人民共和国食品安全法》、国家法律法规规定的标准、食品卫生管理制度、采购人要求、竞争性磋商文件和供应商竞争性磋商响应文件所要求的技术标准。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华阴市政府采购中心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华阴市政府采购中心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华阴市政府采购中心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联系人：杜军刚</w:t>
      </w:r>
    </w:p>
    <w:p>
      <w:pPr>
        <w:pStyle w:val="null3"/>
      </w:pPr>
      <w:r>
        <w:rPr>
          <w:rFonts w:ascii="仿宋_GB2312" w:hAnsi="仿宋_GB2312" w:cs="仿宋_GB2312" w:eastAsia="仿宋_GB2312"/>
        </w:rPr>
        <w:t>联系电话：0913-8373765</w:t>
      </w:r>
    </w:p>
    <w:p>
      <w:pPr>
        <w:pStyle w:val="null3"/>
      </w:pPr>
      <w:r>
        <w:rPr>
          <w:rFonts w:ascii="仿宋_GB2312" w:hAnsi="仿宋_GB2312" w:cs="仿宋_GB2312" w:eastAsia="仿宋_GB2312"/>
        </w:rPr>
        <w:t>地址：华阴市东岳路华阴市财政局政府采购中心508室</w:t>
      </w:r>
    </w:p>
    <w:p>
      <w:pPr>
        <w:pStyle w:val="null3"/>
      </w:pPr>
      <w:r>
        <w:rPr>
          <w:rFonts w:ascii="仿宋_GB2312" w:hAnsi="仿宋_GB2312" w:cs="仿宋_GB2312" w:eastAsia="仿宋_GB2312"/>
        </w:rPr>
        <w:t>邮编：714299</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食堂原材料配送服务项目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599,420.00</w:t>
      </w:r>
    </w:p>
    <w:p>
      <w:pPr>
        <w:pStyle w:val="null3"/>
      </w:pPr>
      <w:r>
        <w:rPr>
          <w:rFonts w:ascii="仿宋_GB2312" w:hAnsi="仿宋_GB2312" w:cs="仿宋_GB2312" w:eastAsia="仿宋_GB2312"/>
        </w:rPr>
        <w:t>采购包最高限价（元）: 599,420.00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食堂原材料配送服务项目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599,420.00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标的名称：食堂原材料配送服务项目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服务内容</w:t>
            </w:r>
          </w:p>
          <w:p>
            <w:pPr>
              <w:pStyle w:val="null3"/>
              <w:jc w:val="left"/>
            </w:pPr>
            <w:r>
              <w:rPr>
                <w:rFonts w:ascii="仿宋_GB2312" w:hAnsi="仿宋_GB2312" w:cs="仿宋_GB2312" w:eastAsia="仿宋_GB2312"/>
                <w:sz w:val="20"/>
              </w:rPr>
              <w:t>1、项目概况：</w:t>
            </w:r>
          </w:p>
          <w:p>
            <w:pPr>
              <w:pStyle w:val="null3"/>
              <w:ind w:firstLine="400"/>
              <w:jc w:val="left"/>
            </w:pPr>
            <w:r>
              <w:rPr>
                <w:rFonts w:ascii="仿宋_GB2312" w:hAnsi="仿宋_GB2312" w:cs="仿宋_GB2312" w:eastAsia="仿宋_GB2312"/>
                <w:sz w:val="20"/>
              </w:rPr>
              <w:t>本项目旨在为</w:t>
            </w:r>
            <w:r>
              <w:rPr>
                <w:rFonts w:ascii="仿宋_GB2312" w:hAnsi="仿宋_GB2312" w:cs="仿宋_GB2312" w:eastAsia="仿宋_GB2312"/>
                <w:sz w:val="20"/>
              </w:rPr>
              <w:t>华阴市</w:t>
            </w:r>
            <w:r>
              <w:rPr>
                <w:rFonts w:ascii="仿宋_GB2312" w:hAnsi="仿宋_GB2312" w:cs="仿宋_GB2312" w:eastAsia="仿宋_GB2312"/>
                <w:sz w:val="20"/>
              </w:rPr>
              <w:t>消防救援大队食堂提供安全、新鲜、及时、合规的食材及配送服务，用餐人数</w:t>
            </w:r>
            <w:r>
              <w:rPr>
                <w:rFonts w:ascii="仿宋_GB2312" w:hAnsi="仿宋_GB2312" w:cs="仿宋_GB2312" w:eastAsia="仿宋_GB2312"/>
                <w:sz w:val="20"/>
              </w:rPr>
              <w:t>约</w:t>
            </w:r>
            <w:r>
              <w:rPr>
                <w:rFonts w:ascii="仿宋_GB2312" w:hAnsi="仿宋_GB2312" w:cs="仿宋_GB2312" w:eastAsia="仿宋_GB2312"/>
                <w:sz w:val="20"/>
              </w:rPr>
              <w:t>44</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保障人员日常饮食供应与饮食安全。服务内容涵盖米面油、肉禽蛋、奶制品、蔬菜、水产、调味品、豆制品等全品类食堂原材料</w:t>
            </w:r>
            <w:r>
              <w:rPr>
                <w:rFonts w:ascii="仿宋_GB2312" w:hAnsi="仿宋_GB2312" w:cs="仿宋_GB2312" w:eastAsia="仿宋_GB2312"/>
                <w:sz w:val="20"/>
              </w:rPr>
              <w:t>，</w:t>
            </w:r>
            <w:r>
              <w:rPr>
                <w:rFonts w:ascii="仿宋_GB2312" w:hAnsi="仿宋_GB2312" w:cs="仿宋_GB2312" w:eastAsia="仿宋_GB2312"/>
                <w:sz w:val="20"/>
              </w:rPr>
              <w:t>可按需实现定时配送、应急补送，同时需建立完善的食材溯源、质量检测及售后服务体系，确保配送食材符合食品安全标准及消防救援队伍饮食保障需求，助力提升食堂后勤保障规范化、高效化水平。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食材供应品类</w:t>
            </w:r>
          </w:p>
          <w:p>
            <w:pPr>
              <w:pStyle w:val="null3"/>
              <w:ind w:firstLine="400"/>
              <w:jc w:val="left"/>
            </w:pPr>
            <w:r>
              <w:rPr>
                <w:rFonts w:ascii="仿宋_GB2312" w:hAnsi="仿宋_GB2312" w:cs="仿宋_GB2312" w:eastAsia="仿宋_GB2312"/>
                <w:sz w:val="20"/>
              </w:rPr>
              <w:t>基础主食类：大米、馒头、面粉、杂粮、挂面、面条等；</w:t>
            </w:r>
          </w:p>
          <w:p>
            <w:pPr>
              <w:pStyle w:val="null3"/>
              <w:ind w:firstLine="400"/>
              <w:jc w:val="left"/>
            </w:pPr>
            <w:r>
              <w:rPr>
                <w:rFonts w:ascii="仿宋_GB2312" w:hAnsi="仿宋_GB2312" w:cs="仿宋_GB2312" w:eastAsia="仿宋_GB2312"/>
                <w:sz w:val="20"/>
              </w:rPr>
              <w:t>油类及调味品：食用油、盐、酱、醋、酱油、料酒、香料等</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肉禽蛋类：猪肉、牛肉、羊肉、鸡肉、鸭肉、鸡蛋、鸭蛋等（需符合检疫标准）；</w:t>
            </w:r>
          </w:p>
          <w:p>
            <w:pPr>
              <w:pStyle w:val="null3"/>
              <w:ind w:firstLine="400"/>
              <w:jc w:val="left"/>
            </w:pPr>
            <w:r>
              <w:rPr>
                <w:rFonts w:ascii="仿宋_GB2312" w:hAnsi="仿宋_GB2312" w:cs="仿宋_GB2312" w:eastAsia="仿宋_GB2312"/>
                <w:sz w:val="20"/>
              </w:rPr>
              <w:t>奶制品类：牛奶、酸奶、巴氏杀菌乳、灭菌乳、调制乳、发酵乳等；</w:t>
            </w:r>
          </w:p>
          <w:p>
            <w:pPr>
              <w:pStyle w:val="null3"/>
              <w:ind w:firstLine="400"/>
              <w:jc w:val="left"/>
            </w:pPr>
            <w:r>
              <w:rPr>
                <w:rFonts w:ascii="仿宋_GB2312" w:hAnsi="仿宋_GB2312" w:cs="仿宋_GB2312" w:eastAsia="仿宋_GB2312"/>
                <w:sz w:val="20"/>
              </w:rPr>
              <w:t>蔬菜类：各类新鲜叶菜、根茎菜、菌菇类等（确保无农药残留、新鲜无变质）；</w:t>
            </w:r>
          </w:p>
          <w:p>
            <w:pPr>
              <w:pStyle w:val="null3"/>
              <w:ind w:firstLine="400"/>
              <w:jc w:val="left"/>
            </w:pPr>
            <w:r>
              <w:rPr>
                <w:rFonts w:ascii="仿宋_GB2312" w:hAnsi="仿宋_GB2312" w:cs="仿宋_GB2312" w:eastAsia="仿宋_GB2312"/>
                <w:sz w:val="20"/>
              </w:rPr>
              <w:t>水产类：淡水鱼、海水鱼、虾、蟹、贝类等（鲜活或冷冻合规产品）；</w:t>
            </w:r>
          </w:p>
          <w:p>
            <w:pPr>
              <w:pStyle w:val="null3"/>
              <w:ind w:firstLine="400"/>
              <w:jc w:val="left"/>
            </w:pPr>
            <w:r>
              <w:rPr>
                <w:rFonts w:ascii="仿宋_GB2312" w:hAnsi="仿宋_GB2312" w:cs="仿宋_GB2312" w:eastAsia="仿宋_GB2312"/>
                <w:sz w:val="20"/>
              </w:rPr>
              <w:t>调味品类：食盐、酱油、醋、糖、香料、鸡精、味精等；</w:t>
            </w:r>
          </w:p>
          <w:p>
            <w:pPr>
              <w:pStyle w:val="null3"/>
              <w:ind w:firstLine="400"/>
              <w:jc w:val="left"/>
            </w:pPr>
            <w:r>
              <w:rPr>
                <w:rFonts w:ascii="仿宋_GB2312" w:hAnsi="仿宋_GB2312" w:cs="仿宋_GB2312" w:eastAsia="仿宋_GB2312"/>
                <w:sz w:val="20"/>
              </w:rPr>
              <w:t>豆制品及干货类：豆腐、豆浆、腐竹、木耳、香菇、海带等</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应急储备食材：可长期储存的米油、罐头、速冻食品等（按大队需求配置）。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配送服务要求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1）配送时效：供应商应按照采购人所需的货品数量，按时送至采购人指定地点。按约定时间（如每日早7:00前）送达指定地点，应急补送需在2小时内响应、4小时内送达；</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供应商根据食堂要求提供的所有食材的品种、数量、质量准时向采购人提供配送服务；所有食材供应商必须按照采购方要求的种类、规格进行供货，满足采购方使用需求。所有食材采购均以采购方通知为准，采购方有权根据实际需求量随时调整采购计划及供货时间段；</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3）供应商自备送货车（冷藏或恒温），安排专人及时供货 , 装卸费、送货费用及运输安全由供货方承担；供应商所报报价应含运费、运送人员工资、税费等费用。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4）特殊情况下，食堂需要的小批量的急用食材，供货方应予以满足解决；</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质量保障：食材外观无腐烂、变质、污染，符合《食品安全法》及消防队伍饮食标准；供应商提供的产品若出现不合格产品或在运输途中出现破损的，应在接到采购人通知后无条件退回并更换新鲜食材，保证正常使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6）包装规范：按食材特性分类包装（保鲜、冷藏、冷冻） , 标注名称、产地、生产日期、保质期，避免运输损耗；</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7）售后服务：建立退换货机制，对不合格食材无条件更换；定期（每月）回访，根据大队反馈优化供应品类及服务。</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附加服务内容</w:t>
            </w:r>
          </w:p>
          <w:p>
            <w:pPr>
              <w:pStyle w:val="null3"/>
              <w:ind w:firstLine="400"/>
              <w:jc w:val="left"/>
            </w:pPr>
            <w:r>
              <w:rPr>
                <w:rFonts w:ascii="仿宋_GB2312" w:hAnsi="仿宋_GB2312" w:cs="仿宋_GB2312" w:eastAsia="仿宋_GB2312"/>
                <w:sz w:val="20"/>
              </w:rPr>
              <w:t>菜单适配：结合消防救援人员训练强度，提供营养搭配建议及应季食材推荐；</w:t>
            </w:r>
          </w:p>
          <w:p>
            <w:pPr>
              <w:pStyle w:val="null3"/>
              <w:ind w:firstLine="400"/>
              <w:jc w:val="left"/>
            </w:pPr>
            <w:r>
              <w:rPr>
                <w:rFonts w:ascii="仿宋_GB2312" w:hAnsi="仿宋_GB2312" w:cs="仿宋_GB2312" w:eastAsia="仿宋_GB2312"/>
                <w:sz w:val="20"/>
              </w:rPr>
              <w:t>台账管理：每月提供配送明细台账（含食材名称、数量、单价、总价、质检报告编号），便于大队对账核算；</w:t>
            </w:r>
          </w:p>
          <w:p>
            <w:pPr>
              <w:pStyle w:val="null3"/>
              <w:ind w:firstLine="400"/>
              <w:jc w:val="left"/>
            </w:pPr>
            <w:r>
              <w:rPr>
                <w:rFonts w:ascii="仿宋_GB2312" w:hAnsi="仿宋_GB2312" w:cs="仿宋_GB2312" w:eastAsia="仿宋_GB2312"/>
                <w:sz w:val="20"/>
              </w:rPr>
              <w:t>应急保障：重大任务、突发事件期间，按大队要求增加配送频次或储备食材，保障饮食供应不间断。</w:t>
            </w:r>
          </w:p>
          <w:p>
            <w:pPr>
              <w:pStyle w:val="null3"/>
              <w:ind w:firstLine="400"/>
              <w:jc w:val="left"/>
            </w:pPr>
            <w:r>
              <w:rPr>
                <w:rFonts w:ascii="仿宋_GB2312" w:hAnsi="仿宋_GB2312" w:cs="仿宋_GB2312" w:eastAsia="仿宋_GB2312"/>
                <w:sz w:val="20"/>
              </w:rPr>
              <w:t>二、服务指标具体要求</w:t>
            </w:r>
          </w:p>
          <w:p>
            <w:pPr>
              <w:pStyle w:val="null3"/>
              <w:ind w:firstLine="400"/>
              <w:jc w:val="left"/>
            </w:pPr>
            <w:r>
              <w:rPr>
                <w:rFonts w:ascii="仿宋_GB2312" w:hAnsi="仿宋_GB2312" w:cs="仿宋_GB2312" w:eastAsia="仿宋_GB2312"/>
                <w:sz w:val="20"/>
              </w:rPr>
              <w:t>1.大米必须符合GB1354－2009《大米》标准，在保质期内，有合格标志。</w:t>
            </w:r>
          </w:p>
          <w:p>
            <w:pPr>
              <w:pStyle w:val="null3"/>
              <w:ind w:firstLine="400"/>
              <w:jc w:val="left"/>
            </w:pPr>
            <w:r>
              <w:rPr>
                <w:rFonts w:ascii="仿宋_GB2312" w:hAnsi="仿宋_GB2312" w:cs="仿宋_GB2312" w:eastAsia="仿宋_GB2312"/>
                <w:sz w:val="20"/>
              </w:rPr>
              <w:t>2.食用油必须符合GB1536－2004标准（菜籽油），在保质期内，有合格标志。</w:t>
            </w:r>
          </w:p>
          <w:p>
            <w:pPr>
              <w:pStyle w:val="null3"/>
              <w:ind w:firstLine="400"/>
              <w:jc w:val="left"/>
            </w:pPr>
            <w:r>
              <w:rPr>
                <w:rFonts w:ascii="仿宋_GB2312" w:hAnsi="仿宋_GB2312" w:cs="仿宋_GB2312" w:eastAsia="仿宋_GB2312"/>
                <w:sz w:val="20"/>
              </w:rPr>
              <w:t>3.面粉必须符合GB1355.86标准，在保质期内，有合格标志。</w:t>
            </w:r>
          </w:p>
          <w:p>
            <w:pPr>
              <w:pStyle w:val="null3"/>
              <w:ind w:firstLine="400"/>
              <w:jc w:val="left"/>
            </w:pPr>
            <w:r>
              <w:rPr>
                <w:rFonts w:ascii="仿宋_GB2312" w:hAnsi="仿宋_GB2312" w:cs="仿宋_GB2312" w:eastAsia="仿宋_GB2312"/>
                <w:sz w:val="20"/>
              </w:rPr>
              <w:t>4.单位食堂副食品、调味品（食盐、味精、酱油、醋等）在保质期内，有合格标志。</w:t>
            </w:r>
          </w:p>
          <w:p>
            <w:pPr>
              <w:pStyle w:val="null3"/>
              <w:ind w:firstLine="400"/>
              <w:jc w:val="left"/>
            </w:pPr>
            <w:r>
              <w:rPr>
                <w:rFonts w:ascii="仿宋_GB2312" w:hAnsi="仿宋_GB2312" w:cs="仿宋_GB2312" w:eastAsia="仿宋_GB2312"/>
                <w:sz w:val="20"/>
              </w:rPr>
              <w:t>5.饮用奶必须符合GB／T6914-1986《生鲜牛乳收购标准》规定的原奶生产，在保质期内，有合格标志。</w:t>
            </w:r>
          </w:p>
          <w:p>
            <w:pPr>
              <w:pStyle w:val="null3"/>
              <w:ind w:firstLine="400"/>
              <w:jc w:val="left"/>
            </w:pPr>
            <w:r>
              <w:rPr>
                <w:rFonts w:ascii="仿宋_GB2312" w:hAnsi="仿宋_GB2312" w:cs="仿宋_GB2312" w:eastAsia="仿宋_GB2312"/>
                <w:sz w:val="20"/>
              </w:rPr>
              <w:t>6.配送的鲜肉类必须在定点屠宰场（或宰杀店）宰杀加工，并经动物卫生检疫机构检疫合格，加盖检疫合格印章和屠宰场印章，并附有《动物产品检疫合格证明》。</w:t>
            </w:r>
          </w:p>
          <w:p>
            <w:pPr>
              <w:pStyle w:val="null3"/>
              <w:ind w:firstLine="400"/>
              <w:jc w:val="left"/>
            </w:pPr>
            <w:r>
              <w:rPr>
                <w:rFonts w:ascii="仿宋_GB2312" w:hAnsi="仿宋_GB2312" w:cs="仿宋_GB2312" w:eastAsia="仿宋_GB2312"/>
                <w:sz w:val="20"/>
              </w:rPr>
              <w:t>7.蔬菜：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1）叶菜类：新鲜、色泽鲜亮、无腐烂、无干叶、捆把内部无杂乱夹塞，菜品粗细均匀，脆嫩不老，不抽苔。茎部不老化，个体均匀，未发芽、变色。</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2）根茎类：茎部不老化，个体均匀，未发芽、变色。</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3）花果类：个体均匀，无腐烂、无变色，允许果型有轻微缺点，但不得变形、过熟。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4）菇菌类：外形饱满，不发霉、变黑。</w:t>
            </w:r>
          </w:p>
          <w:p>
            <w:pPr>
              <w:pStyle w:val="null3"/>
              <w:jc w:val="left"/>
            </w:pPr>
            <w:r>
              <w:rPr>
                <w:rFonts w:ascii="仿宋_GB2312" w:hAnsi="仿宋_GB2312" w:cs="仿宋_GB2312" w:eastAsia="仿宋_GB2312"/>
                <w:sz w:val="20"/>
              </w:rPr>
              <w:t>注：以上食材标准有更新的或其他未明确的原材料采购标准，按国家最新的相关标准执行。</w:t>
            </w:r>
          </w:p>
          <w:p>
            <w:pPr>
              <w:pStyle w:val="null3"/>
              <w:ind w:firstLine="400"/>
              <w:jc w:val="left"/>
            </w:pPr>
            <w:r>
              <w:rPr>
                <w:rFonts w:ascii="仿宋_GB2312" w:hAnsi="仿宋_GB2312" w:cs="仿宋_GB2312" w:eastAsia="仿宋_GB2312"/>
                <w:sz w:val="20"/>
              </w:rPr>
              <w:t>8.配送要求：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基准价格：</w:t>
            </w:r>
            <w:r>
              <w:rPr>
                <w:rFonts w:ascii="仿宋_GB2312" w:hAnsi="仿宋_GB2312" w:cs="仿宋_GB2312" w:eastAsia="仿宋_GB2312"/>
                <w:sz w:val="21"/>
              </w:rPr>
              <w:t>以当月市场平均价格为基准，按供应商中标的下浮率结算。每月在大型市场采集价格不得少于</w:t>
            </w:r>
            <w:r>
              <w:rPr>
                <w:rFonts w:ascii="仿宋_GB2312" w:hAnsi="仿宋_GB2312" w:cs="仿宋_GB2312" w:eastAsia="仿宋_GB2312"/>
                <w:sz w:val="21"/>
              </w:rPr>
              <w:t>3次，采集地点不得少于2处，最后的平均价格为当月基准价格。</w:t>
            </w:r>
          </w:p>
          <w:p>
            <w:pPr>
              <w:pStyle w:val="null3"/>
              <w:ind w:firstLine="402"/>
              <w:jc w:val="left"/>
            </w:pPr>
            <w:r>
              <w:rPr>
                <w:rFonts w:ascii="仿宋_GB2312" w:hAnsi="仿宋_GB2312" w:cs="仿宋_GB2312" w:eastAsia="仿宋_GB2312"/>
                <w:sz w:val="20"/>
                <w:b/>
              </w:rPr>
              <w:t>注：当结算金额高于本项目预算金额时，以本项目预算金额作为结算金额，当结算金额低于本项目预算金额时，按实结算。</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2）配送公司要在采购人规定的时间内把蔬菜食品运至采购人食堂，以保障采购人食堂的正常运行。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3）注重农产品质量，通过配送使健康绿色蔬菜及时送到采购人食堂，让职工能轻松体验健康蔬菜食品。</w:t>
            </w:r>
          </w:p>
          <w:p>
            <w:pPr>
              <w:pStyle w:val="null3"/>
            </w:pPr>
            <w:r>
              <w:rPr>
                <w:rFonts w:ascii="仿宋_GB2312" w:hAnsi="仿宋_GB2312" w:cs="仿宋_GB2312" w:eastAsia="仿宋_GB2312"/>
                <w:sz w:val="20"/>
                <w:b/>
              </w:rPr>
              <w:t>注</w:t>
            </w:r>
            <w:r>
              <w:rPr>
                <w:rFonts w:ascii="仿宋_GB2312" w:hAnsi="仿宋_GB2312" w:cs="仿宋_GB2312" w:eastAsia="仿宋_GB2312"/>
                <w:sz w:val="20"/>
                <w:b/>
              </w:rPr>
              <w:t>：</w:t>
            </w:r>
            <w:r>
              <w:rPr>
                <w:rFonts w:ascii="仿宋_GB2312" w:hAnsi="仿宋_GB2312" w:cs="仿宋_GB2312" w:eastAsia="仿宋_GB2312"/>
                <w:sz w:val="21"/>
                <w:b/>
              </w:rPr>
              <w:t>技术参数与性能指标</w:t>
            </w:r>
            <w:r>
              <w:rPr>
                <w:rFonts w:ascii="仿宋_GB2312" w:hAnsi="仿宋_GB2312" w:cs="仿宋_GB2312" w:eastAsia="仿宋_GB2312"/>
                <w:sz w:val="21"/>
                <w:b/>
              </w:rPr>
              <w:t>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华阴市消防救援大队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符合《中华人民共和国食品安全法》、国家法律法规规定的标准、食品卫生管理制度、采购人要求、竞争性磋商文件和供应商竞争性磋商响应文件所要求的技术标准。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按月支付，每月月初按时结算上个月的费，供应商须开具增值税普通发票给采购人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3.采购人、供应商双方如出现违约的，违约方自违约之日起，每日按合同金额的1‰向对方承担违约责任并且及时采取有效补救措施，违约金总额不超过本合同金额的5%，并继续履行本合同所规定的义务。4.供应商违约超过15日的，则采购人有权单方解除本合同，供应商应依采购人要求并按合同金额的10%向采购人承担违约责任。5.供应商必须为其员工购买“五险一金”，按时发放工资，并承担一切用工风险。否则，采购人有权单方解除本合同，且采购人有权暂停向供应商支付任何款项，并有权从供应商的未付款中直接扣款。6.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成交人在领取成交通知书时提供一正两副纸质磋商响应文件。纸质磋商响应文件采用书籍（胶装）方式装订成册，与电子响应文件一致的签字、盖章的完整版本（正本为红章）。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其基本开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社会保障资金缴纳证明：提供2025年2月至今任意一个月的社保缴纳凭据或社保机构开具的社会保险参保缴纳情况证明；（依法不需要缴纳社会保障资金的投标人应提供相关证明）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2月至今任意一个月在本单位的社保资金缴纳凭证）；法定代表人直接参加磋商提供法定代表人资格证明书（附法定代表人身份证复印件）；采购文件凡是法定代表人之处，非法人单位的负责人均参照执行； (式样见竞争性磋商响应文件格式)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供应商须具有有效的《食品经营许可证》，并提供生产厂家的《食品生产许可证》（米、面、油、奶）及《动物防疫条件合格证》（肉、蛋类）</w:t>
            </w:r>
          </w:p>
        </w:tc>
        <w:tc>
          <w:tcPr>
            <w:tcW w:type="dxa" w:w="3322"/>
          </w:tcPr>
          <w:p>
            <w:pPr>
              <w:pStyle w:val="null3"/>
            </w:pPr>
            <w:r>
              <w:rPr>
                <w:rFonts w:ascii="仿宋_GB2312" w:hAnsi="仿宋_GB2312" w:cs="仿宋_GB2312" w:eastAsia="仿宋_GB2312"/>
              </w:rPr>
              <w:t>供应商须具有有效的《食品经营许可证》，并提供生产厂家的《食品生产许可证》（米、面、油、奶）及《动物防疫条件合格证》（肉、蛋类）；</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除明确允许供应商可以自行编写的外，磋商响应文件是否按照磋商文件给定的格式和要求编制</w:t>
            </w:r>
          </w:p>
        </w:tc>
        <w:tc>
          <w:tcPr>
            <w:tcW w:type="dxa" w:w="1661"/>
          </w:tcPr>
          <w:p>
            <w:pPr>
              <w:pStyle w:val="null3"/>
            </w:pPr>
            <w:r>
              <w:rPr>
                <w:rFonts w:ascii="仿宋_GB2312" w:hAnsi="仿宋_GB2312" w:cs="仿宋_GB2312" w:eastAsia="仿宋_GB2312"/>
              </w:rPr>
              <w:t>响应文件封面 拒绝政府采购领域商业贿赂承诺书.docx 标的清单 商务条款响应偏离表.docx 响应函 法定代表人授权委托书.docx 服务条款响应偏离表.docx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中小企业声明函 标的清单 商务条款响应偏离表.docx 法定代表人授权委托书.docx 响应函 服务条款响应偏离表.docx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是否对磋商文件技术、商务要求作出明确响应，对不得偏离的要求是否作出实质性响应</w:t>
            </w:r>
          </w:p>
        </w:tc>
        <w:tc>
          <w:tcPr>
            <w:tcW w:type="dxa" w:w="3322"/>
          </w:tcPr>
          <w:p>
            <w:pPr>
              <w:pStyle w:val="null3"/>
            </w:pPr>
            <w:r>
              <w:rPr>
                <w:rFonts w:ascii="仿宋_GB2312" w:hAnsi="仿宋_GB2312" w:cs="仿宋_GB2312" w:eastAsia="仿宋_GB2312"/>
              </w:rPr>
              <w:t>是否对磋商文件技术、商务要求作出明确响应，对不得偏离的要求是否作出实质性响应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磋商响应文件无采购人不能接受的附加条件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无法律、法规和磋商文件规定的其他无效投标情形</w:t>
            </w:r>
          </w:p>
        </w:tc>
        <w:tc>
          <w:tcPr>
            <w:tcW w:type="dxa" w:w="3322"/>
          </w:tcPr>
          <w:p>
            <w:pPr>
              <w:pStyle w:val="null3"/>
            </w:pPr>
            <w:r>
              <w:rPr>
                <w:rFonts w:ascii="仿宋_GB2312" w:hAnsi="仿宋_GB2312" w:cs="仿宋_GB2312" w:eastAsia="仿宋_GB2312"/>
              </w:rPr>
              <w:t>无法律、法规和磋商文件规定的其他无效投标情形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评审得分相同的，则依次比较报价得分，服务方案得分，食品配送方案及运输车辆配备情况得分，以得分高的排序在先。</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包括但不限于：服务流程；项目人员配备；管理制度等。 评审标准：方案各项内容全面详细、阐述条理清晰、具有针对性、合理可行得15分。每有一项缺项扣3分，每有一处内容存在缺陷，扣1分，扣完为止，未提供相关内容本项不计分。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食品配送方案及运输车辆配备情况</w:t>
            </w:r>
          </w:p>
        </w:tc>
        <w:tc>
          <w:tcPr>
            <w:tcW w:type="dxa" w:w="2492"/>
          </w:tcPr>
          <w:p>
            <w:pPr>
              <w:pStyle w:val="null3"/>
            </w:pPr>
            <w:r>
              <w:rPr>
                <w:rFonts w:ascii="仿宋_GB2312" w:hAnsi="仿宋_GB2312" w:cs="仿宋_GB2312" w:eastAsia="仿宋_GB2312"/>
              </w:rPr>
              <w:t>包括但不限于：车辆租赁合同或车辆产权证（行驶证）；车辆类型、数量、用途；配置说明；保温保鲜条件；使用年限、车况；保险齐全等，提供相关证明材料； 评审标准：各项内容证明材料齐全的计12分。每有一项缺项扣2分，每有一处内容存在缺陷，扣1分，扣完为止，未提供相关内容本项不计分。 备注：缺陷是指内容不合理、内容仅有粗略表述不具体、内容表述前后不一致、证明材料与实际不匹配等任意一种情形。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食品配送方案及运输车辆配备情况.docx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包括但不限于：组织机构健全；实行项目负责制；管理计划详细完整；针对本项目配置专职服务人员；人员健康无传染疾病、安排合理；充足、职责划分明确等，人员具有（身份证、健康证、配送司机有驾驶证等相关证明材料） 评审标准：各项内容、证明材料齐全的计6分。每有一项缺项或缺陷扣1分，未提供相关内容本项不计分。 备注：缺陷是指内容不合理、内容仅有粗略表述不具体、内容表述前后不一致、证明材料与实际不匹配等任意一种情形。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包括但不限于：配送车间；保鲜仓库；冷藏仓库等仓储面积、仓储设备、各种设施条件等； 需提供车间、库房租赁或购房合同、仓储设备、设施证明材料等，并附场地彩图。 评审标准：各项内容证明材料齐全的计6分。每有一项缺项扣2分，每有一处内容存在缺陷，扣1分，扣完为止，未提供相关内容本项不计分。 备注：缺陷是指内容不合理、证明材料不详实等任意一种情形。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仓储能力.docx</w:t>
            </w:r>
          </w:p>
        </w:tc>
      </w:tr>
      <w:tr>
        <w:tc>
          <w:tcPr>
            <w:tcW w:type="dxa" w:w="831"/>
            <w:vMerge/>
          </w:tcPr>
          <w:p/>
        </w:tc>
        <w:tc>
          <w:tcPr>
            <w:tcW w:type="dxa" w:w="1661"/>
          </w:tcPr>
          <w:p>
            <w:pPr>
              <w:pStyle w:val="null3"/>
            </w:pPr>
            <w:r>
              <w:rPr>
                <w:rFonts w:ascii="仿宋_GB2312" w:hAnsi="仿宋_GB2312" w:cs="仿宋_GB2312" w:eastAsia="仿宋_GB2312"/>
              </w:rPr>
              <w:t>质量控制方案和保证措施</w:t>
            </w:r>
          </w:p>
        </w:tc>
        <w:tc>
          <w:tcPr>
            <w:tcW w:type="dxa" w:w="2492"/>
          </w:tcPr>
          <w:p>
            <w:pPr>
              <w:pStyle w:val="null3"/>
            </w:pPr>
            <w:r>
              <w:rPr>
                <w:rFonts w:ascii="仿宋_GB2312" w:hAnsi="仿宋_GB2312" w:cs="仿宋_GB2312" w:eastAsia="仿宋_GB2312"/>
              </w:rPr>
              <w:t>包括但不限于：原料来源；验收保管信息收集；处理及食品安全若未达标或未按时按量配送等问题的保障措施和处罚办法等； 评审标准：方案各项内容全面详细、阐述条理清晰、具有针对性、合理可行得15分。每有一项缺项扣3分，每有一处内容存在缺陷，扣1分，扣完为止，未提供相关内容本项不计分。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质量控制方案和保证措施.docx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包括但不限于：突发事件应急响应预案；突发事件处理原则及方案；快速反应的保障措施等。 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以合同形式提供供应商2021年1月至今类似项目业绩证明文件，每提供1份计2分，满分10分；未提供不计分。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包括但不限于：基础服务质量承诺；响应与处理时效承诺；安全保障承诺；责任与违约承诺等。 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(1-最高下浮率报价)的为评标基准价，下浮率最高的报价分为满分。 其他供应商的价格分统一按照下列公式计算：磋商报价得分= (磋商基准价／（1-下浮率报价)）×价格权值（即20%）×100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详见附件：仓储能力.docx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详见附件：食品配送方案及运输车辆配备情况.docx</w:t>
      </w:r>
    </w:p>
    <w:p>
      <w:pPr>
        <w:pStyle w:val="null3"/>
        <w:ind w:firstLine="960"/>
      </w:pPr>
      <w:r>
        <w:rPr>
          <w:rFonts w:ascii="仿宋_GB2312" w:hAnsi="仿宋_GB2312" w:cs="仿宋_GB2312" w:eastAsia="仿宋_GB2312"/>
        </w:rPr>
        <w:t>详见附件：团队人员.docx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详见附件：质量控制方案和保证措施.docx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