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版本号：SXZYXM2026-0320260212001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渭南市华阴市2025年3万亩高标准农田新建项目监理服务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SXZYXM2026-03</w:t>
      </w:r>
      <w:r>
        <w:br/>
      </w:r>
      <w:r>
        <w:br/>
      </w:r>
      <w:r>
        <w:br/>
      </w:r>
    </w:p>
    <w:p>
      <w:pPr>
        <w:pStyle w:val="null3"/>
        <w:jc w:val="center"/>
        <w:outlineLvl w:val="2"/>
      </w:pPr>
      <w:r>
        <w:rPr>
          <w:rFonts w:ascii="仿宋_GB2312" w:hAnsi="仿宋_GB2312" w:cs="仿宋_GB2312" w:eastAsia="仿宋_GB2312"/>
          <w:sz w:val="28"/>
          <w:b/>
        </w:rPr>
        <w:t>华阴市农业农村局</w:t>
      </w:r>
    </w:p>
    <w:p>
      <w:pPr>
        <w:pStyle w:val="null3"/>
        <w:jc w:val="center"/>
        <w:outlineLvl w:val="2"/>
      </w:pPr>
      <w:r>
        <w:rPr>
          <w:rFonts w:ascii="仿宋_GB2312" w:hAnsi="仿宋_GB2312" w:cs="仿宋_GB2312" w:eastAsia="仿宋_GB2312"/>
          <w:sz w:val="28"/>
          <w:b/>
        </w:rPr>
        <w:t>陕西正园工程项目管理有限公司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陕西正园工程项目管理有限公司</w:t>
      </w:r>
      <w:r>
        <w:rPr>
          <w:rFonts w:ascii="仿宋_GB2312" w:hAnsi="仿宋_GB2312" w:cs="仿宋_GB2312" w:eastAsia="仿宋_GB2312"/>
        </w:rPr>
        <w:t>（以下简称“代理机构”）受</w:t>
      </w:r>
      <w:r>
        <w:rPr>
          <w:rFonts w:ascii="仿宋_GB2312" w:hAnsi="仿宋_GB2312" w:cs="仿宋_GB2312" w:eastAsia="仿宋_GB2312"/>
        </w:rPr>
        <w:t>华阴市农业农村局</w:t>
      </w:r>
      <w:r>
        <w:rPr>
          <w:rFonts w:ascii="仿宋_GB2312" w:hAnsi="仿宋_GB2312" w:cs="仿宋_GB2312" w:eastAsia="仿宋_GB2312"/>
        </w:rPr>
        <w:t>委托，拟对</w:t>
      </w:r>
      <w:r>
        <w:rPr>
          <w:rFonts w:ascii="仿宋_GB2312" w:hAnsi="仿宋_GB2312" w:cs="仿宋_GB2312" w:eastAsia="仿宋_GB2312"/>
        </w:rPr>
        <w:t>渭南市华阴市2025年3万亩高标准农田新建项目监理服务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SXZYXM2026-03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渭南市华阴市2025年3万亩高标准农田新建项目监理服务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区涉及中国融通下属哈尔滨公司和渭南公司所属两个片区，规划建设高标准农田规模为30000亩，其中:哈尔滨公司片区27700亩，渭南公司片区2300亩。主要建设内容包括:灌溉与排水工程、田间道路工程、农田输配电工程、其他工程、农业科技配套及应用和农田地力提升工程等。本次采购内容：渭南市华阴市2025年3万亩高标准农田新建项目建设期监理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采购包1（渭南市华阴市2025年3万亩高标准农田新建项目监理服务）：属于专门面向中小企业采购。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1、具有独立承担民事责任能力的法人、其他组织或自然人：提供合法有效的统一社会信用代码营业执照，自然人提供身份证；</w:t>
      </w:r>
    </w:p>
    <w:p>
      <w:pPr>
        <w:pStyle w:val="null3"/>
      </w:pPr>
      <w:r>
        <w:rPr>
          <w:rFonts w:ascii="仿宋_GB2312" w:hAnsi="仿宋_GB2312" w:cs="仿宋_GB2312" w:eastAsia="仿宋_GB2312"/>
        </w:rPr>
        <w:t>2、供应商授权合法的人员参加磋商全过程：法定代表人授权委托书（附法定代表人身份证复印件）及被授权委托人身份证及被授权人开标前六个月内任意连续三个月在本单位的社保缴纳证明（法定代表人参加磋商只须提供法定代表人身份证及法人社保缴纳证明）；</w:t>
      </w:r>
    </w:p>
    <w:p>
      <w:pPr>
        <w:pStyle w:val="null3"/>
      </w:pPr>
      <w:r>
        <w:rPr>
          <w:rFonts w:ascii="仿宋_GB2312" w:hAnsi="仿宋_GB2312" w:cs="仿宋_GB2312" w:eastAsia="仿宋_GB2312"/>
        </w:rPr>
        <w:t>3、财务状况报告：提供2024年度经审计的财务报告（包括但不限于审计报告、资产负债表、利润表、现金流量表、所有者权益变动表及财务报表附注等内容）成立时间至提交响应文件截止时间不足一年的可提供成立后任意时段的资产负债表）或开标前六个月内其基本账户银行出具的资信证明，以上两种方式供应商任选其一进行提供；</w:t>
      </w:r>
    </w:p>
    <w:p>
      <w:pPr>
        <w:pStyle w:val="null3"/>
      </w:pPr>
      <w:r>
        <w:rPr>
          <w:rFonts w:ascii="仿宋_GB2312" w:hAnsi="仿宋_GB2312" w:cs="仿宋_GB2312" w:eastAsia="仿宋_GB2312"/>
        </w:rPr>
        <w:t>4、税收缴纳证明：提供递交截止时间前6个月内任意一个月的缴费凭据，依法免税的单位应提供相关证明材料；</w:t>
      </w:r>
    </w:p>
    <w:p>
      <w:pPr>
        <w:pStyle w:val="null3"/>
      </w:pPr>
      <w:r>
        <w:rPr>
          <w:rFonts w:ascii="仿宋_GB2312" w:hAnsi="仿宋_GB2312" w:cs="仿宋_GB2312" w:eastAsia="仿宋_GB2312"/>
        </w:rPr>
        <w:t>5、社会保障资金缴纳证明：提供递交截止时间前6个月内任意一个月的社会保障资金缴存单据或社保机构开具的社会保险参保缴费情况证明，依法不需要缴纳社会保障资金的单位应提供相关证明材料；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6、资质条件：投标人须具备工程监理综合资质或水利工程施工监理乙级及以上资质；</w:t>
      </w:r>
    </w:p>
    <w:p>
      <w:pPr>
        <w:pStyle w:val="null3"/>
      </w:pPr>
      <w:r>
        <w:rPr>
          <w:rFonts w:ascii="仿宋_GB2312" w:hAnsi="仿宋_GB2312" w:cs="仿宋_GB2312" w:eastAsia="仿宋_GB2312"/>
        </w:rPr>
        <w:t>7、项目负责人：投标人拟派总监理工程师须具备水利工程专业国家注册监理工程师执业资格，且无在监理工程（提供无在监理承诺）；</w:t>
      </w:r>
    </w:p>
    <w:p>
      <w:pPr>
        <w:pStyle w:val="null3"/>
      </w:pPr>
      <w:r>
        <w:rPr>
          <w:rFonts w:ascii="仿宋_GB2312" w:hAnsi="仿宋_GB2312" w:cs="仿宋_GB2312" w:eastAsia="仿宋_GB2312"/>
        </w:rPr>
        <w:t>8、具有履行合同所必需的设备和专业技术能力：提供具有履行合同所必需的设备和专业技术能力的承诺；</w:t>
      </w:r>
    </w:p>
    <w:p>
      <w:pPr>
        <w:pStyle w:val="null3"/>
      </w:pPr>
      <w:r>
        <w:rPr>
          <w:rFonts w:ascii="仿宋_GB2312" w:hAnsi="仿宋_GB2312" w:cs="仿宋_GB2312" w:eastAsia="仿宋_GB2312"/>
        </w:rPr>
        <w:t>9、参加政府采购活动前三年内，在经营活动中没有重大违法记录：提供参加政府采购活动前3年内在经营活动中没有重大违法记录的书面声明；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10、信用记录：未被列入“信用中国”网站记录的“失信被执行人”及“重大税收违法案件当事人”名单；不得为“中国政府采购网”记录的“政府采购严重违法失信行为记录名单”，提供网页截图，代理机构将对信用记录现场进行查询。（以评审现场查询记录为准）；</w:t>
      </w:r>
    </w:p>
    <w:p>
      <w:pPr>
        <w:pStyle w:val="null3"/>
      </w:pPr>
      <w:r>
        <w:rPr>
          <w:rFonts w:ascii="仿宋_GB2312" w:hAnsi="仿宋_GB2312" w:cs="仿宋_GB2312" w:eastAsia="仿宋_GB2312"/>
        </w:rPr>
        <w:t>11、投标承诺：单位负责人为同一人或者存在直接控股、管理关系的不同供应商，不得参加同一合同项下的政府采购活动（提供控股管理关系清单）；</w:t>
      </w:r>
    </w:p>
    <w:p>
      <w:pPr>
        <w:pStyle w:val="null3"/>
      </w:pPr>
      <w:r>
        <w:rPr>
          <w:rFonts w:ascii="仿宋_GB2312" w:hAnsi="仿宋_GB2312" w:cs="仿宋_GB2312" w:eastAsia="仿宋_GB2312"/>
        </w:rPr>
        <w:t>12、非联合体磋商：提供非联合体磋商声明；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华阴市农业农村局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华阴市环城北路46号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华阴市农业局经办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15191322328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陕西正园工程项目管理有限公司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西安市曲江新区雁翔路旺座曲江L座1506室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钮依宁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029-89557177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华阴市政府采购管理股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华阴市政府采购管理股</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13759656664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采购包1：1,099,854.00元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本采购包履约保证金为合同金额的2%</w:t>
            </w:r>
          </w:p>
          <w:p>
            <w:pPr>
              <w:pStyle w:val="null3"/>
            </w:pPr>
            <w:r>
              <w:rPr>
                <w:rFonts w:ascii="仿宋_GB2312" w:hAnsi="仿宋_GB2312" w:cs="仿宋_GB2312" w:eastAsia="仿宋_GB2312"/>
              </w:rPr>
              <w:t>说明：中标人应在签订合同前按要求办理履约保证金手续</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采购项目代理服务费参照国家计委颁发的《招标代理服务收费管理暂行办法》(计价格[2002]1980号)和国家发展改革委员会办公厅颁发的《关于招标代理服务收费有关问题的通知》(发改办价格[2003]857号)及发改价格【2011】534的有关规定执行，由中标人向采购代理机构一次付清招标代理服务费。 代理费用由投标人自行考虑包含在投标报价中，费用可不单列。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华阴市农业农村局</w:t>
      </w:r>
      <w:r>
        <w:rPr>
          <w:rFonts w:ascii="仿宋_GB2312" w:hAnsi="仿宋_GB2312" w:cs="仿宋_GB2312" w:eastAsia="仿宋_GB2312"/>
        </w:rPr>
        <w:t>和</w:t>
      </w:r>
      <w:r>
        <w:rPr>
          <w:rFonts w:ascii="仿宋_GB2312" w:hAnsi="仿宋_GB2312" w:cs="仿宋_GB2312" w:eastAsia="仿宋_GB2312"/>
        </w:rPr>
        <w:t>陕西正园工程项目管理有限公司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华阴市农业农村局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陕西正园工程项目管理有限公司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华阴市农业农村局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陕西正园工程项目管理有限公司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国家或行业规定标准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陕西正园工程项目管理有限公司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陕西正园工程项目管理有限公司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陕西正园工程项目管理有限公司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联系人：钮依宁</w:t>
      </w:r>
    </w:p>
    <w:p>
      <w:pPr>
        <w:pStyle w:val="null3"/>
      </w:pPr>
      <w:r>
        <w:rPr>
          <w:rFonts w:ascii="仿宋_GB2312" w:hAnsi="仿宋_GB2312" w:cs="仿宋_GB2312" w:eastAsia="仿宋_GB2312"/>
        </w:rPr>
        <w:t>联系电话：029-89557177</w:t>
      </w:r>
    </w:p>
    <w:p>
      <w:pPr>
        <w:pStyle w:val="null3"/>
      </w:pPr>
      <w:r>
        <w:rPr>
          <w:rFonts w:ascii="仿宋_GB2312" w:hAnsi="仿宋_GB2312" w:cs="仿宋_GB2312" w:eastAsia="仿宋_GB2312"/>
        </w:rPr>
        <w:t>地址：西安市曲江新区雁翔路旺座曲江L座1506室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项目区涉及中国融通下属哈尔滨公司和渭南公司所属两个片区，规划建设高标准农田规模为30000亩，其中：哈尔滨公司片区27700亩，渭南公司片区2300亩。主要建设内容包括：灌溉与排水工程、田间道路工程、农田输配电工程、其他工程。</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1,099,854.00</w:t>
      </w:r>
    </w:p>
    <w:p>
      <w:pPr>
        <w:pStyle w:val="null3"/>
      </w:pPr>
      <w:r>
        <w:rPr>
          <w:rFonts w:ascii="仿宋_GB2312" w:hAnsi="仿宋_GB2312" w:cs="仿宋_GB2312" w:eastAsia="仿宋_GB2312"/>
        </w:rPr>
        <w:t>采购包最高限价（元）: 1,099,854.00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渭南市华阴市2025年3万亩高标准农田新建项目监理服务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1,099,854.00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标的名称：渭南市华阴市2025年3万亩高标准农田新建项目监理服务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服务内容及要求：</w:t>
            </w:r>
          </w:p>
          <w:p>
            <w:pPr>
              <w:pStyle w:val="null3"/>
            </w:pPr>
            <w:r>
              <w:rPr>
                <w:rFonts w:ascii="仿宋_GB2312" w:hAnsi="仿宋_GB2312" w:cs="仿宋_GB2312" w:eastAsia="仿宋_GB2312"/>
              </w:rPr>
              <w:t>一、项目概况：项目区涉及中国融通下属哈尔滨公司和渭南公司所属两个片区，规划建设高标准农田规模为30000亩，其中：哈尔滨公司片区27700亩，渭南公司片区2300亩。主要建设内容包括：灌溉与排水工程、田间道路工程、农田输配电工程、其他工程。</w:t>
            </w:r>
          </w:p>
          <w:p>
            <w:pPr>
              <w:pStyle w:val="null3"/>
            </w:pPr>
            <w:r>
              <w:rPr>
                <w:rFonts w:ascii="仿宋_GB2312" w:hAnsi="仿宋_GB2312" w:cs="仿宋_GB2312" w:eastAsia="仿宋_GB2312"/>
              </w:rPr>
              <w:t>二、主要服务内容：</w:t>
            </w:r>
          </w:p>
          <w:p>
            <w:pPr>
              <w:pStyle w:val="null3"/>
            </w:pPr>
            <w:r>
              <w:rPr>
                <w:rFonts w:ascii="仿宋_GB2312" w:hAnsi="仿宋_GB2312" w:cs="仿宋_GB2312" w:eastAsia="仿宋_GB2312"/>
              </w:rPr>
              <w:t>1.监理服务：</w:t>
            </w:r>
          </w:p>
          <w:p>
            <w:pPr>
              <w:pStyle w:val="null3"/>
            </w:pPr>
            <w:r>
              <w:rPr>
                <w:rFonts w:ascii="仿宋_GB2312" w:hAnsi="仿宋_GB2312" w:cs="仿宋_GB2312" w:eastAsia="仿宋_GB2312"/>
              </w:rPr>
              <w:t>接受委托人的委托，依照法律、规范标准和监理合同等，对本项目进行质量控制、进度控制、投资控制、合同管理、信息管理、组织协调和安全监理、环保监理的全过程监理服务。</w:t>
            </w:r>
          </w:p>
          <w:p>
            <w:pPr>
              <w:pStyle w:val="null3"/>
            </w:pPr>
            <w:r>
              <w:rPr>
                <w:rFonts w:ascii="仿宋_GB2312" w:hAnsi="仿宋_GB2312" w:cs="仿宋_GB2312" w:eastAsia="仿宋_GB2312"/>
              </w:rPr>
              <w:t>2.监理依据：</w:t>
            </w:r>
          </w:p>
          <w:p>
            <w:pPr>
              <w:pStyle w:val="null3"/>
            </w:pPr>
            <w:r>
              <w:rPr>
                <w:rFonts w:ascii="仿宋_GB2312" w:hAnsi="仿宋_GB2312" w:cs="仿宋_GB2312" w:eastAsia="仿宋_GB2312"/>
              </w:rPr>
              <w:t>本招标项目适用的国家法律、行政法规和部门规章以及地方法规、规章为：中华人民共和国《合同法》，《建筑法》、国务院《建设工程质量管理条例》等。委托人（发包人）与承包单位签订的正式合同或协议、上级批准的工程项目设计文件等。</w:t>
            </w:r>
          </w:p>
          <w:p>
            <w:pPr>
              <w:pStyle w:val="null3"/>
            </w:pPr>
            <w:r>
              <w:rPr>
                <w:rFonts w:ascii="仿宋_GB2312" w:hAnsi="仿宋_GB2312" w:cs="仿宋_GB2312" w:eastAsia="仿宋_GB2312"/>
              </w:rPr>
              <w:t>3.监理人员和试验检测仪器设备要求：</w:t>
            </w:r>
          </w:p>
          <w:p>
            <w:pPr>
              <w:pStyle w:val="null3"/>
            </w:pPr>
            <w:r>
              <w:rPr>
                <w:rFonts w:ascii="仿宋_GB2312" w:hAnsi="仿宋_GB2312" w:cs="仿宋_GB2312" w:eastAsia="仿宋_GB2312"/>
              </w:rPr>
              <w:t>监理人员要求：配备的主要监理人员符合监理工作要求，年龄层次合理，成员人数不少于5人。</w:t>
            </w:r>
          </w:p>
          <w:p>
            <w:pPr>
              <w:pStyle w:val="null3"/>
            </w:pPr>
            <w:r>
              <w:rPr>
                <w:rFonts w:ascii="仿宋_GB2312" w:hAnsi="仿宋_GB2312" w:cs="仿宋_GB2312" w:eastAsia="仿宋_GB2312"/>
              </w:rPr>
              <w:t>试验检测仪器设备要求：须满足监理工作检测试验的需要。</w:t>
            </w:r>
          </w:p>
          <w:p>
            <w:pPr>
              <w:pStyle w:val="null3"/>
            </w:pPr>
            <w:r>
              <w:rPr>
                <w:rFonts w:ascii="仿宋_GB2312" w:hAnsi="仿宋_GB2312" w:cs="仿宋_GB2312" w:eastAsia="仿宋_GB2312"/>
              </w:rPr>
              <w:t>4.成果文件要求：</w:t>
            </w:r>
          </w:p>
          <w:p>
            <w:pPr>
              <w:pStyle w:val="null3"/>
            </w:pPr>
            <w:r>
              <w:rPr>
                <w:rFonts w:ascii="仿宋_GB2312" w:hAnsi="仿宋_GB2312" w:cs="仿宋_GB2312" w:eastAsia="仿宋_GB2312"/>
              </w:rPr>
              <w:t>4.1成果文件的组成：监理大纲、监理规划、监理实施细则、监理日志、监理报告、工程质量评估报告、事故处理文件、监理工作总结和其他文件等；</w:t>
            </w:r>
          </w:p>
          <w:p>
            <w:pPr>
              <w:pStyle w:val="null3"/>
            </w:pPr>
            <w:r>
              <w:rPr>
                <w:rFonts w:ascii="仿宋_GB2312" w:hAnsi="仿宋_GB2312" w:cs="仿宋_GB2312" w:eastAsia="仿宋_GB2312"/>
              </w:rPr>
              <w:t>4.2成果文件的深度：应满足工程施工相应监理工作的规定要求，满足委托人的下步工作需要，并应符合国家和行业现行规定；</w:t>
            </w:r>
          </w:p>
          <w:p>
            <w:pPr>
              <w:pStyle w:val="null3"/>
            </w:pPr>
            <w:r>
              <w:rPr>
                <w:rFonts w:ascii="仿宋_GB2312" w:hAnsi="仿宋_GB2312" w:cs="仿宋_GB2312" w:eastAsia="仿宋_GB2312"/>
              </w:rPr>
              <w:t>4.3成果文件的格式要求： 纸质版及电子版U盘；</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1、监理单位有健全的组织机构，有资格齐全、专业齐备的监理人员（除总监理工程师外）不少于5人。 2、派驻现场的监理人员要熟悉所从事的业务，具备胜任监理业务的能力，具有良好的沟通、协调能力。</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监理人员的生活用品、交通工具、通讯、办公用品、监理用具、保险由监理人自行解决.供应商应根据本工程的特点提供必要的监理仪器。</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自合同签订之日起至工程竣工验收、缺陷责任期满为止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1.合同文本;2.磋商响应文件、磋商文件、澄清函;3.国家或行业规定的标准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工程开工后，发包方根据资金到位情况，按工程进度支付工程款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向工程所在地人民法院起诉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供应商所报价格应考虑到可能发生的所有与完成本项目有关的一切费用。磋商报价是供应商为完成本次磋商所要求的服务且验收合格的所有费用，包括但不限于投标人完成本项目所需的人工费、材料费、设备费、管理费、验收费、利润和税金等所产生的全部费用。任何有选择的报价将不予接受，按无效磋商处理。（二）由供应商自行承担因现场踏勘而产生的费用及安全。（三）本项目所属行业为：其他未列明行业。根据《工业和信息化部、国家统计局、国家发展和改革委员会、财政部关于印发中小企业划型标准规定的通知》《工信部联企业(2011)300 号)规定的划分标准，从业人员300人以下的为中小微企业。其中，从业人员100人及以上的为中型企业；从业人员10人及以上的为小型企业；从业人员10人及以下的为微型企业。（四）、成交供应商在领取成交通知书前，需向采购代理机构提交纸质版响应文件二套，成交供应商应保持响应文件纸质版内容与系统上传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供应商应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提供合法有效的统一社会信用代码营业执照，自然人提供身份证；</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供应商授权合法的人员参加磋商全过程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及被授权人开标前六个月内任意连续三个月在本单位的社保缴纳证明（法定代表人参加磋商只须提供法定代表人身份证及法人社保缴纳证明）；</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包括但不限于审计报告、资产负债表、利润表、现金流量表、所有者权益变动表及财务报表附注等内容）成立时间至提交响应文件截止时间不足一年的可提供成立后任意时段的资产负债表）或开标前六个月内其基本账户银行出具的资信证明，以上两种方式供应商任选其一进行提供；</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提供递交截止时间前6个月内任意一个月的缴费凭据，依法免税的单位应提供相关证明材料；</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提供递交截止时间前6个月内任意一个月的社会保障资金缴存单据或社保机构开具的社会保险参保缴费情况证明，依法不需要缴纳社会保障资金的单位应提供相关证明材料；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资质条件</w:t>
            </w:r>
          </w:p>
        </w:tc>
        <w:tc>
          <w:tcPr>
            <w:tcW w:type="dxa" w:w="3322"/>
          </w:tcPr>
          <w:p>
            <w:pPr>
              <w:pStyle w:val="null3"/>
            </w:pPr>
            <w:r>
              <w:rPr>
                <w:rFonts w:ascii="仿宋_GB2312" w:hAnsi="仿宋_GB2312" w:cs="仿宋_GB2312" w:eastAsia="仿宋_GB2312"/>
              </w:rPr>
              <w:t>投标人须具备工程监理综合资质或水利工程施工监理乙级及以上资质；</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投标人拟派总监理工程师须具备水利工程专业国家注册监理工程师执业资格，且无在监理工程（提供无在监理承诺）；</w:t>
            </w:r>
          </w:p>
        </w:tc>
        <w:tc>
          <w:tcPr>
            <w:tcW w:type="dxa" w:w="1661"/>
          </w:tcPr>
          <w:p>
            <w:pPr>
              <w:pStyle w:val="null3"/>
            </w:pPr>
            <w:r>
              <w:rPr>
                <w:rFonts w:ascii="仿宋_GB2312" w:hAnsi="仿宋_GB2312" w:cs="仿宋_GB2312" w:eastAsia="仿宋_GB2312"/>
              </w:rPr>
              <w:t>总监理工程师及团队人员简历表.docx 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未被列入“信用中国”网站记录的“失信被执行人”及“重大税收违法案件当事人”名单；不得为“中国政府采购网”记录的“政府采购严重违法失信行为记录名单”，提供网页截图，代理机构将对信用记录现场进行查询。（以评审现场查询记录为准）；</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单位负责人为同一人或者存在直接控股、管理关系的不同供应商，不得参加同一合同项下的政府采购活动（提供控股管理关系清单）；</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提供非联合体磋商声明；</w:t>
            </w:r>
          </w:p>
        </w:tc>
        <w:tc>
          <w:tcPr>
            <w:tcW w:type="dxa" w:w="1661"/>
          </w:tcPr>
          <w:p>
            <w:pPr>
              <w:pStyle w:val="null3"/>
            </w:pPr>
            <w:r>
              <w:rPr>
                <w:rFonts w:ascii="仿宋_GB2312" w:hAnsi="仿宋_GB2312" w:cs="仿宋_GB2312" w:eastAsia="仿宋_GB2312"/>
              </w:rPr>
              <w:t>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响应文件签字盖章齐全</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承诺书.docx 资格证明资料.docx 响应文件封面 残疾人福利性单位声明函 总监理工程师及团队人员简历表.docx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磋商报价不得超过采购预算及最高限价</w:t>
            </w:r>
          </w:p>
        </w:tc>
        <w:tc>
          <w:tcPr>
            <w:tcW w:type="dxa" w:w="3322"/>
          </w:tcPr>
          <w:p>
            <w:pPr>
              <w:pStyle w:val="null3"/>
            </w:pPr>
            <w:r>
              <w:rPr>
                <w:rFonts w:ascii="仿宋_GB2312" w:hAnsi="仿宋_GB2312" w:cs="仿宋_GB2312" w:eastAsia="仿宋_GB2312"/>
              </w:rPr>
              <w:t>磋商报价不得超过采购预算及最高限价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响应全部实质性要求，未附加采购人难以接受的条件</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承诺书.docx 资格证明资料.docx 响应文件封面 残疾人福利性单位声明函 总监理工程师及团队人员简历表.docx 服务方案 标的清单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满足采购文件中的规定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法律、法规和磋商文件规定的其他无效响应情形</w:t>
            </w:r>
          </w:p>
        </w:tc>
        <w:tc>
          <w:tcPr>
            <w:tcW w:type="dxa" w:w="3322"/>
          </w:tcPr>
          <w:p>
            <w:pPr>
              <w:pStyle w:val="null3"/>
            </w:pPr>
            <w:r>
              <w:rPr>
                <w:rFonts w:ascii="仿宋_GB2312" w:hAnsi="仿宋_GB2312" w:cs="仿宋_GB2312" w:eastAsia="仿宋_GB2312"/>
              </w:rPr>
              <w:t>不存在法律、法规和磋商文件规定的其他无效响应情形</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承诺书.docx 资格证明资料.docx 响应文件封面 残疾人福利性单位声明函 总监理工程师及团队人员简历表.docx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监理方案</w:t>
            </w:r>
          </w:p>
        </w:tc>
        <w:tc>
          <w:tcPr>
            <w:tcW w:type="dxa" w:w="2492"/>
          </w:tcPr>
          <w:p>
            <w:pPr>
              <w:pStyle w:val="null3"/>
            </w:pPr>
            <w:r>
              <w:rPr>
                <w:rFonts w:ascii="仿宋_GB2312" w:hAnsi="仿宋_GB2312" w:cs="仿宋_GB2312" w:eastAsia="仿宋_GB2312"/>
              </w:rPr>
              <w:t>根据供应商针对本项目的监理方案包括（1）监理工作目标；（2）监理工作范围；（3）监理方法； （4）监理工作流程进行评审。评审标准：以上每项内容全面详细、阐述条理清晰、逻辑清晰、具有针对性、合理可行得6分，满分24分；每有一项内容缺项扣6分。若上述内容存在缺陷，每出现一处缺陷扣1分，扣完为止。“缺陷”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监理管理措施</w:t>
            </w:r>
          </w:p>
        </w:tc>
        <w:tc>
          <w:tcPr>
            <w:tcW w:type="dxa" w:w="2492"/>
          </w:tcPr>
          <w:p>
            <w:pPr>
              <w:pStyle w:val="null3"/>
            </w:pPr>
            <w:r>
              <w:rPr>
                <w:rFonts w:ascii="仿宋_GB2312" w:hAnsi="仿宋_GB2312" w:cs="仿宋_GB2312" w:eastAsia="仿宋_GB2312"/>
              </w:rPr>
              <w:t>根据供应商针对本项目监理管理措施包括（1）投资控制管理措施；（2）安全文明施工监督管理措施；（3）合同及相关信息管理措施； （4）风险识别及应对措施；（5）缺陷责任期服务措施进行评审。评审标准：以上每项内容全面详细、阐述条理清晰、逻辑清晰、具有针对性、合理可行得4分，满分20分，每有一项内容缺项扣4分。若上述内容存在缺陷，每出现一处缺陷扣1分，扣完为止。“缺陷”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根据供应商针对本项目质量保证措施包括（1）质量控制标准；（2）质量控制措施进行评审。评审标准：以上每项内容全面详细、阐述条理清晰、逻辑清晰、具有针对性、合理可行得5分，满分10分，每有一项内容缺项扣5分。若上述内容存在缺陷，每出现一处缺陷扣1分，扣完为止。“缺陷”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进度管理计划</w:t>
            </w:r>
          </w:p>
        </w:tc>
        <w:tc>
          <w:tcPr>
            <w:tcW w:type="dxa" w:w="2492"/>
          </w:tcPr>
          <w:p>
            <w:pPr>
              <w:pStyle w:val="null3"/>
            </w:pPr>
            <w:r>
              <w:rPr>
                <w:rFonts w:ascii="仿宋_GB2312" w:hAnsi="仿宋_GB2312" w:cs="仿宋_GB2312" w:eastAsia="仿宋_GB2312"/>
              </w:rPr>
              <w:t>根据供应商针对本项目进度管理计划包括（1）进度安排计划；（2）进度保障措施进行评审。评审标准：以上每项内容全面详细、阐述条理清晰、逻辑清晰、具有针对性、合理可行得4分，满分8分，每有一项内容缺项扣4分。若上述内容存在缺陷，每出现一处缺陷扣1分，扣完为止。“缺陷”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针对本项目服务承诺包括（1）廉洁监理承诺；（2）合理化建议进行评审。评审标准：以上每项内容全面详细、阐述条理清晰、逻辑清晰、具有针对性、合理可行得2分，满分4分，每有一项内容缺项扣2分。若上述内容存在缺陷，每出现一处缺陷扣0.5分，扣完为止。“缺陷”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投标人具有近五年（2021年1月至今）的类似项目业绩（提供业绩合同复印件，时间以合同签订时间为准）每个计2分，满分10分。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总监理工程师</w:t>
            </w:r>
          </w:p>
        </w:tc>
        <w:tc>
          <w:tcPr>
            <w:tcW w:type="dxa" w:w="2492"/>
          </w:tcPr>
          <w:p>
            <w:pPr>
              <w:pStyle w:val="null3"/>
            </w:pPr>
            <w:r>
              <w:rPr>
                <w:rFonts w:ascii="仿宋_GB2312" w:hAnsi="仿宋_GB2312" w:cs="仿宋_GB2312" w:eastAsia="仿宋_GB2312"/>
              </w:rPr>
              <w:t>1.拟派总监理工程师为工程类中级及以上职称得2分，提供职称证书复印件； 2.拟派总监理工程师具有2021年1月至今类似项目监理业绩（需提供业绩合同复印件，能显示出姓名等关键信息内容，时间以合同签订时间为准，未能显示的不得分），具有一项得1分，最高2分。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总监理工程师及团队人员简历表.docx</w:t>
            </w:r>
          </w:p>
        </w:tc>
      </w:tr>
      <w:tr>
        <w:tc>
          <w:tcPr>
            <w:tcW w:type="dxa" w:w="831"/>
            <w:vMerge/>
          </w:tcPr>
          <w:p/>
        </w:tc>
        <w:tc>
          <w:tcPr>
            <w:tcW w:type="dxa" w:w="1661"/>
          </w:tcPr>
          <w:p>
            <w:pPr>
              <w:pStyle w:val="null3"/>
            </w:pPr>
            <w:r>
              <w:rPr>
                <w:rFonts w:ascii="仿宋_GB2312" w:hAnsi="仿宋_GB2312" w:cs="仿宋_GB2312" w:eastAsia="仿宋_GB2312"/>
              </w:rPr>
              <w:t>监理团队人员</w:t>
            </w:r>
          </w:p>
        </w:tc>
        <w:tc>
          <w:tcPr>
            <w:tcW w:type="dxa" w:w="2492"/>
          </w:tcPr>
          <w:p>
            <w:pPr>
              <w:pStyle w:val="null3"/>
            </w:pPr>
            <w:r>
              <w:rPr>
                <w:rFonts w:ascii="仿宋_GB2312" w:hAnsi="仿宋_GB2312" w:cs="仿宋_GB2312" w:eastAsia="仿宋_GB2312"/>
              </w:rPr>
              <w:t>1.配备的监理人员具有水利工程国家注册监理工程师，1人得1分，最高得5分；2.配备的监理人员具有工程类中级及以上职称得1分，最高得5分。 以上人员须提供相关专业职称证书及执业资格证书及社保缴纳证明，未提供不得分。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总监理工程师及团队人员简历表.docx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统一采用低价优先法计算，即满足磋商文件要求且磋商价格最低的磋商报价为评标基准价，其价格分为满分。其他供应商的价格分统一按照下列公式计算： 磋商报价得分=(磋商基准价／磋商报价)×价格权值（即10%）×100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详见附件：资格证明资料.docx</w:t>
      </w:r>
    </w:p>
    <w:p>
      <w:pPr>
        <w:pStyle w:val="null3"/>
        <w:ind w:firstLine="960"/>
      </w:pPr>
      <w:r>
        <w:rPr>
          <w:rFonts w:ascii="仿宋_GB2312" w:hAnsi="仿宋_GB2312" w:cs="仿宋_GB2312" w:eastAsia="仿宋_GB2312"/>
        </w:rPr>
        <w:t>详见附件：总监理工程师及团队人员简历表.docx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详见附件：监理--合同.docx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