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版本号：SXZYXM2026-0920260323002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华阴市2025年度财政街接资金岳庙办凤城村东沟管道水毁项目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SXZYXM2026-09</w:t>
      </w:r>
      <w:r>
        <w:br/>
      </w:r>
      <w:r>
        <w:br/>
      </w:r>
      <w:r>
        <w:br/>
      </w:r>
    </w:p>
    <w:p>
      <w:pPr>
        <w:pStyle w:val="null3"/>
        <w:jc w:val="center"/>
        <w:outlineLvl w:val="2"/>
      </w:pPr>
      <w:r>
        <w:rPr>
          <w:rFonts w:ascii="仿宋_GB2312" w:hAnsi="仿宋_GB2312" w:cs="仿宋_GB2312" w:eastAsia="仿宋_GB2312"/>
          <w:sz w:val="28"/>
          <w:b/>
        </w:rPr>
        <w:t>华阴市农业农村局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华阴市农业农村局</w:t>
      </w:r>
      <w:r>
        <w:rPr>
          <w:rFonts w:ascii="仿宋_GB2312" w:hAnsi="仿宋_GB2312" w:cs="仿宋_GB2312" w:eastAsia="仿宋_GB2312"/>
        </w:rPr>
        <w:t>委托，拟对</w:t>
      </w:r>
      <w:r>
        <w:rPr>
          <w:rFonts w:ascii="仿宋_GB2312" w:hAnsi="仿宋_GB2312" w:cs="仿宋_GB2312" w:eastAsia="仿宋_GB2312"/>
        </w:rPr>
        <w:t>华阴市2025年度财政街接资金岳庙办凤城村东沟管道水毁项目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SXZYXM2026-09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华阴市2025年度财政街接资金岳庙办凤城村东沟管道水毁项目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修建拦洪低坝1 座，修建排洪渠366m，延长混凝土生产路60m。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采购包1（岳庙办凤城村东沟管道水毁项目）：属于专门面向中小企业采购。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1、具有独立承担民事责任能力的法人、其他组织或自然人：提供合法有效的统一社会信用代码营业执照，自然人提供身份证</w:t>
      </w:r>
    </w:p>
    <w:p>
      <w:pPr>
        <w:pStyle w:val="null3"/>
      </w:pPr>
      <w:r>
        <w:rPr>
          <w:rFonts w:ascii="仿宋_GB2312" w:hAnsi="仿宋_GB2312" w:cs="仿宋_GB2312" w:eastAsia="仿宋_GB2312"/>
        </w:rPr>
        <w:t>2、财务报告：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3、税收缴纳证明：提供递交截止时间前6个月内任意一个月的缴费凭据，依法免税的单位应提供相关证明材料；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供应商授权合法的人员参加磋商全过程：法定代表人授权委托书（附法定代表人身份证复印件）及被授权委托人身份证及被授权人开标前六个月内任意连续三个月在本单位的社保缴纳证明（法定代表人参加磋商只须提供法定代表人身份证及法人社保缴纳证明）；</w:t>
      </w:r>
    </w:p>
    <w:p>
      <w:pPr>
        <w:pStyle w:val="null3"/>
      </w:pPr>
      <w:r>
        <w:rPr>
          <w:rFonts w:ascii="仿宋_GB2312" w:hAnsi="仿宋_GB2312" w:cs="仿宋_GB2312" w:eastAsia="仿宋_GB2312"/>
        </w:rPr>
        <w:t>8、资质条件：供应商须具备水利水电工程施工总承包三级及以上资质并具有有效的安全生产许可证，提供相关加盖公章的证书复印件</w:t>
      </w:r>
    </w:p>
    <w:p>
      <w:pPr>
        <w:pStyle w:val="null3"/>
      </w:pPr>
      <w:r>
        <w:rPr>
          <w:rFonts w:ascii="仿宋_GB2312" w:hAnsi="仿宋_GB2312" w:cs="仿宋_GB2312" w:eastAsia="仿宋_GB2312"/>
        </w:rPr>
        <w:t>9、项目负责人：供应商拟派项目经理须具备水利水电工程专业注册二级建造师执业资格，具有有效的安全生产考核合格证书。且未担任其他在建工程项目经理；提供相关加盖公章的证书复印件及项目经理无在建承诺；</w:t>
      </w:r>
    </w:p>
    <w:p>
      <w:pPr>
        <w:pStyle w:val="null3"/>
      </w:pPr>
      <w:r>
        <w:rPr>
          <w:rFonts w:ascii="仿宋_GB2312" w:hAnsi="仿宋_GB2312" w:cs="仿宋_GB2312" w:eastAsia="仿宋_GB2312"/>
        </w:rPr>
        <w:t>10、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11、投标承诺：单位负责人为同一人或者存在直接控股、管理关系的不同供应商，不得参加同一合同项下的政府采购活动（提供控股管理关系清单）；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12、非联合体磋商：提供非联合体磋商声明。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华阴市环城北路46号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15191322328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西安市曲江新区雁翔路旺座曲江L座15层1506室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张金利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采购包1：849,600.00元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代理服务费收费标准：本项目收取代理服务费 代理服务费用收取对象：中标/成交供应商 代理服务费收费标准：本采购项目代理服务费参照国家计委颁发的《招标代理服务收费管理暂行办法》(计价格[2002]1980号)和国家发改委员会办公厅颁发的《关于招标代理服务收费有关问题的通知》(发改办价格[2003]857号)及发改价格【2011】534的有关规定执行，由中标人向采购代理机构一次付清招标代理服务费。 代理费用由投标人自行考虑包含在投标报价中，费用可不单列。 供应商需要办理完税发票（招标代理服务费）的，须在陕西正园工程项目管理有限公司财务部的收款收据或发票开具之日起90日内换领，逾期不予办理。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华阴市农业农村局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849,600.00</w:t>
      </w:r>
    </w:p>
    <w:p>
      <w:pPr>
        <w:pStyle w:val="null3"/>
      </w:pPr>
      <w:r>
        <w:rPr>
          <w:rFonts w:ascii="仿宋_GB2312" w:hAnsi="仿宋_GB2312" w:cs="仿宋_GB2312" w:eastAsia="仿宋_GB2312"/>
        </w:rPr>
        <w:t>采购包最高限价（元）: 849,600.00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华阴市2025年度财政街接资金岳庙办凤城村东沟管道水毁项目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849,600.00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标的名称：华阴市2025年度财政街接资金岳庙办凤城村东沟管道水毁项目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一、工程概况：</w:t>
            </w:r>
          </w:p>
          <w:p>
            <w:pPr>
              <w:pStyle w:val="null3"/>
            </w:pPr>
            <w:r>
              <w:rPr>
                <w:rFonts w:ascii="仿宋_GB2312" w:hAnsi="仿宋_GB2312" w:cs="仿宋_GB2312" w:eastAsia="仿宋_GB2312"/>
                <w:sz w:val="28"/>
                <w:color w:val="000000"/>
              </w:rPr>
              <w:t>1．工程名称：2025 年华阴市岳庙办凤城村东沟管道水毁项目</w:t>
            </w:r>
          </w:p>
          <w:p>
            <w:pPr>
              <w:pStyle w:val="null3"/>
            </w:pPr>
            <w:r>
              <w:rPr>
                <w:rFonts w:ascii="仿宋_GB2312" w:hAnsi="仿宋_GB2312" w:cs="仿宋_GB2312" w:eastAsia="仿宋_GB2312"/>
                <w:sz w:val="28"/>
                <w:color w:val="000000"/>
              </w:rPr>
              <w:t>2．建设单位：华阴市农业局</w:t>
            </w:r>
          </w:p>
          <w:p>
            <w:pPr>
              <w:pStyle w:val="null3"/>
            </w:pPr>
            <w:r>
              <w:rPr>
                <w:rFonts w:ascii="仿宋_GB2312" w:hAnsi="仿宋_GB2312" w:cs="仿宋_GB2312" w:eastAsia="仿宋_GB2312"/>
                <w:sz w:val="28"/>
                <w:color w:val="000000"/>
              </w:rPr>
              <w:t>3．建设地点：渭南市华阴市</w:t>
            </w:r>
          </w:p>
          <w:p>
            <w:pPr>
              <w:pStyle w:val="null3"/>
            </w:pPr>
            <w:r>
              <w:rPr>
                <w:rFonts w:ascii="仿宋_GB2312" w:hAnsi="仿宋_GB2312" w:cs="仿宋_GB2312" w:eastAsia="仿宋_GB2312"/>
                <w:sz w:val="28"/>
                <w:color w:val="000000"/>
              </w:rPr>
              <w:t>4．主要工程建设内容：修建拦洪低坝1座，修建排洪渠366m，延长混凝土生产路60m。</w:t>
            </w:r>
          </w:p>
          <w:p>
            <w:pPr>
              <w:pStyle w:val="null3"/>
            </w:pPr>
            <w:r>
              <w:rPr>
                <w:rFonts w:ascii="仿宋_GB2312" w:hAnsi="仿宋_GB2312" w:cs="仿宋_GB2312" w:eastAsia="仿宋_GB2312"/>
                <w:sz w:val="28"/>
                <w:b/>
                <w:color w:val="000000"/>
              </w:rPr>
              <w:t>二、商务要求</w:t>
            </w:r>
          </w:p>
          <w:p>
            <w:pPr>
              <w:pStyle w:val="null3"/>
            </w:pPr>
            <w:r>
              <w:rPr>
                <w:rFonts w:ascii="仿宋_GB2312" w:hAnsi="仿宋_GB2312" w:cs="仿宋_GB2312" w:eastAsia="仿宋_GB2312"/>
                <w:sz w:val="28"/>
                <w:color w:val="000000"/>
              </w:rPr>
              <w:t>1、工期：90日历天</w:t>
            </w:r>
          </w:p>
          <w:p>
            <w:pPr>
              <w:pStyle w:val="null3"/>
            </w:pPr>
            <w:r>
              <w:rPr>
                <w:rFonts w:ascii="仿宋_GB2312" w:hAnsi="仿宋_GB2312" w:cs="仿宋_GB2312" w:eastAsia="仿宋_GB2312"/>
                <w:sz w:val="28"/>
                <w:color w:val="000000"/>
              </w:rPr>
              <w:t>2、缺陷责</w:t>
            </w:r>
            <w:r>
              <w:rPr>
                <w:rFonts w:ascii="仿宋_GB2312" w:hAnsi="仿宋_GB2312" w:cs="仿宋_GB2312" w:eastAsia="仿宋_GB2312"/>
                <w:sz w:val="28"/>
                <w:color w:val="000000"/>
              </w:rPr>
              <w:t>任期</w:t>
            </w:r>
            <w:r>
              <w:rPr>
                <w:rFonts w:ascii="仿宋_GB2312" w:hAnsi="仿宋_GB2312" w:cs="仿宋_GB2312" w:eastAsia="仿宋_GB2312"/>
                <w:sz w:val="28"/>
                <w:color w:val="000000"/>
              </w:rPr>
              <w:t>：工程竣工验收合格之日起1年</w:t>
            </w:r>
          </w:p>
          <w:p>
            <w:pPr>
              <w:pStyle w:val="null3"/>
            </w:pPr>
            <w:r>
              <w:rPr>
                <w:rFonts w:ascii="仿宋_GB2312" w:hAnsi="仿宋_GB2312" w:cs="仿宋_GB2312" w:eastAsia="仿宋_GB2312"/>
                <w:sz w:val="28"/>
                <w:color w:val="000000"/>
              </w:rPr>
              <w:t>3、付款方式：</w:t>
            </w:r>
          </w:p>
          <w:p>
            <w:pPr>
              <w:pStyle w:val="null3"/>
            </w:pPr>
            <w:r>
              <w:rPr>
                <w:rFonts w:ascii="仿宋_GB2312" w:hAnsi="仿宋_GB2312" w:cs="仿宋_GB2312" w:eastAsia="仿宋_GB2312"/>
                <w:sz w:val="28"/>
                <w:color w:val="000000"/>
              </w:rPr>
              <w:t>(1)合同签订生效后，乙方提交合规请款资料且经甲方审核无误后，向乙方支付合同总价款的30%作为预付款;</w:t>
            </w:r>
          </w:p>
          <w:p>
            <w:pPr>
              <w:pStyle w:val="null3"/>
            </w:pPr>
            <w:r>
              <w:rPr>
                <w:rFonts w:ascii="仿宋_GB2312" w:hAnsi="仿宋_GB2312" w:cs="仿宋_GB2312" w:eastAsia="仿宋_GB2312"/>
                <w:sz w:val="28"/>
                <w:color w:val="000000"/>
              </w:rPr>
              <w:t>(2)当工程实际进度经甲方及监理单位共同确认超过50%，且乙方同步完善对应阶段施工资料并提交完整请款材料后，甲方支付至合同总价款的80%;</w:t>
            </w:r>
          </w:p>
          <w:p>
            <w:pPr>
              <w:pStyle w:val="null3"/>
            </w:pPr>
            <w:r>
              <w:rPr>
                <w:rFonts w:ascii="仿宋_GB2312" w:hAnsi="仿宋_GB2312" w:cs="仿宋_GB2312" w:eastAsia="仿宋_GB2312"/>
                <w:sz w:val="28"/>
                <w:color w:val="000000"/>
              </w:rPr>
              <w:t>(3)项目通过最终审计并完成全部施工资料归档移交后，乙方提交经审计确认的结算申请及对应请款凭证，甲方支付至合同价款的97%，剩余3%作为质量保证金;</w:t>
            </w:r>
          </w:p>
          <w:p>
            <w:pPr>
              <w:pStyle w:val="null3"/>
            </w:pPr>
            <w:r>
              <w:rPr>
                <w:rFonts w:ascii="仿宋_GB2312" w:hAnsi="仿宋_GB2312" w:cs="仿宋_GB2312" w:eastAsia="仿宋_GB2312"/>
                <w:sz w:val="28"/>
                <w:color w:val="000000"/>
              </w:rPr>
              <w:t>(4)质保期自项目整体验收合格之日起计算，质保期为1年若在质保期内，部分项目出现质量问题，该部分的质保期自问题解决并经甲方验收合格之日起重新计算。在项目质保期结束后且验收合格，甲方(采购方)在15个工作日内将质保金支付至乙方(供应商)指定账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本工程按国家和陕西省现行质量评定标准和施工技术验收规范执行，在工程施工期间颁布新规范或新版本适用本工程的需遵照执行。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货物、服务及工程且验收合格的所有费用，包括但不限于投标人完成本项目所需的人工费、材料费、设备费、管理费、验收费、利润和税金等所产生的全部费用。任何有选择的报价将不予接受，按无效磋商处理。 （二）由供应商自行承担因现场踏勘而产生的费用及安全。（三）本项目所属行业为：建筑业。根据《工业和信息化部、国家统计局、国家发展和改革委员会、财政部关于印发中小企业划型标准规定的通知》《工信部联企业(2011)300 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四）、成交供应商在领取成交通知书前，需向采购代理机构提交加盖公章的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本采购包专门面向中小企业采购，供应商应提供《中小企业声明函》；供应商为监狱企业的，应提供监狱企业的证明文件；供应商为残疾人福利性单位的，应提供《残疾人福利性单位声明函》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连续三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供应商须具备水利水电工程施工总承包三级及以上资质并具有有效的安全生产许可证，提供相关加盖公章的证书复印件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供应商拟派项目经理须具备水利水电工程专业注册二级建造师执业资格，具有有效的安全生产考核合格证书。且未担任其他在建工程项目经理；提供相关加盖公章的证书复印件及项目经理无在建承诺；</w:t>
            </w:r>
          </w:p>
        </w:tc>
        <w:tc>
          <w:tcPr>
            <w:tcW w:type="dxa" w:w="1661"/>
          </w:tcPr>
          <w:p>
            <w:pPr>
              <w:pStyle w:val="null3"/>
            </w:pPr>
            <w:r>
              <w:rPr>
                <w:rFonts w:ascii="仿宋_GB2312" w:hAnsi="仿宋_GB2312" w:cs="仿宋_GB2312" w:eastAsia="仿宋_GB2312"/>
              </w:rPr>
              <w:t>资格证明文件.docx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供应商名称与营业执照，资质证书，安全生产许可证一致。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资格证明文件.docx 响应文件封面 项目管理机构组成表 残疾人福利性单位声明函 其他资料.docx 供应商类似项目业绩一览表 响应函 主要人员简历表 磋商技术方案-.docx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资格证明文件.docx 响应文件封面 项目管理机构组成表 残疾人福利性单位声明函 其他资料.docx 供应商类似项目业绩一览表 响应函 主要人员简历表 磋商技术方案-.docx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供应商响应磋商文件中全部商务要求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投标人针对本项目编制完善的施工部署，内容包含：①施工目标:包含成本目标、工期目标及质量目标②施工准备：包含技术准备、材料准备、机械准备及机具准备③施工方法及相关技术措施。 二、评审标准 1、完整性：方案必须全面，对评审内容中的各项要求有详细描述； 2、可实施性：切合本项目实际情况，提出步骤清晰、合理的方案； 三、赋分标准（满分18分） ①施工目标：每完全满足一个评审标准得3分，满分6分； ②施工准备：每完全满足一个评审标准得3分，满分6分； ③施工方法及相关技术措施：每完全满足一个评审标准得3分，满分6分。以上内容存在缺陷，每任意一个缺陷扣 0.5分，扣完为止，未提供不得分。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投标人针对本项目编制完善的进度计划，内容包含：①项目总进度：包含施工节点控制及进度计划安排②进度保障措施。 二、评审标准 1、完整性：方案必须全面，对评审内容中的各项要求有详细描述； 2、可实施性：切合本项目实际情况，提出步骤清晰、合理的方案；三、赋分标准（满分 8 分） ①项目总进度：每完全满足一个评审标准得 2 分，满分 4 分； ②进度保障措施：每完全满足一个评审标准得 2分，满分 4 分。 以上内容存在缺陷，每任意一个缺陷扣 0.5分，扣完为止，未提供不得分。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供应商针对本项目工程编制完善的质量保证措施，内容包含：①质量目标管理体系②施工质量检验制度③质量保障措施。二、评审标准 1、完整性：方案必须全面，对评审内容中的各项要求有详细描述； 2、可实施性：切合本项目实际情况，提出步骤清晰、合理的方案；三、赋分标准（满分9 分） ①质量目标管理体系：每完全满足一个评审标准得 1.5分，满分 3 分； ②施工质量检验制度：每完全满足一个评审标准得 1.5 分，满分 3 分； ③质量保障措施措施：每完全满足一个评审标准得 1.5 分，满分 3 分；以上内容存在缺陷，每任意一个缺陷扣 0.5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供应商针对本项目编制完整的安全施工措施，内容包含：①安全管理体系及责任归属划分②安全管理措施。 二、评审标准 1、完整性：方案必须全面，对评审内容中的各项要求有详细描述； 2、可实施性：切合本项目实际情况，提出步骤清晰、合理的方案；三、赋分标准（满分 6 分） ①安全管理体系及责任归属划分：每完全满足一个评审标准得 1.5分，满分 3 分；②安全管理措施：每完全满足一个评审标准得1.5 分，满分 3 分；以上内容存在缺陷，每任意一个缺陷扣 0.5分，扣完为止，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供应商针对本项目编制完整的文明施工措施，内容包含：①文明施工管理目标②文明施工现场管理措施：治污减霾措施、防扰民措施。二、评审标准 1、完整性：方案必须全面，对评审内容中的各项要求有详细描述； 2、可实施性：切合本项目实际情况，提出步骤清晰、合理的方案；三、赋分标准（满分 8 分） ①文明施工管理目标及技术措施：每完全满足一个评审标准得 2 分，满分 4 分； ②文明施工现场 管理：每完全满足一个评审标准得 2 分，满分 4 分。 以上内容存在缺陷，每任意一个缺陷扣 0.5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针对本项目提供资源配置计划，内容包含：①拟投入的主要劳动力及施工机械配备计划②主要材料进场计划；二、评审标准 1、完整性：方案须全面，对评审内容中的各项要求有详细描述及说明； 2、可实施性：切合本项目实际情况，实施步骤清晰、合理；三、赋分标准（满分 4 分）①拟投入的主要劳动力及施工机械配备计划：每完全满足一个评审标准得 1 分，满分 2 分；②主要材料进场计划：每完全满足一 个评审标准得 1 分，满分 2 分；以上内容存在缺陷，每任意一个缺陷扣 0.5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新材料、新工艺运用</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 1、完整性：方案必须全面，对评审内容中的各项要求有详细描述； 2、可实施性：切合本项目实际情况，提出步骤清晰、合理的方案； 三、赋分标准（满分 4 分） ①新材料的应用情况：每完全满足一个评审标准得 1 分，满分 2 分； ②新技术和新工艺的应用情况：每完全满足一个评审标准得 1 分，满分 2 分。 以上内容存在缺陷，每任意一个缺陷扣 0.5 分，扣完为止，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至少包括施工员、质量员、材料员、安全员、资料员）配备清单（至少包含具体成员姓名、年龄、职业资格证书、从业工作年限、岗位），得5分。缺少证书一人扣一分，扣完为止。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 年 2 月至今类似工程项目业绩，以合同签订时间为准，每提供一份业绩得 2 分，满分 8 分。注：（1）以合同为准，复印件清楚有效加盖公章，否则不作为评审依据。 （2）同一工程有多个标段符合要求的，只按一个计分。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1.磋商报价得分=（磋商基准价/最后磋商报价）×30分；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详见附件：磋商技术方案-.docx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