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3AAB8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编制说明</w:t>
      </w:r>
    </w:p>
    <w:p w14:paraId="105FFF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0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一、工程概况</w:t>
      </w:r>
    </w:p>
    <w:p w14:paraId="5F2B1A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项目名称：华阴市2025年度财政街接资金岳庙办凤城村东沟管道水毁项目。</w:t>
      </w:r>
    </w:p>
    <w:p w14:paraId="1A5D7C9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工程地点：华阴市岳庙办凤城村。</w:t>
      </w:r>
    </w:p>
    <w:p w14:paraId="448F841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工程范围</w:t>
      </w:r>
    </w:p>
    <w:p w14:paraId="07F99F24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 xml:space="preserve">1.主要工程内容：修建拦洪低坝1 座，修建排洪渠366m，延长混凝土生产路60m。 </w:t>
      </w:r>
    </w:p>
    <w:p w14:paraId="5B951B3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编制依据</w:t>
      </w:r>
    </w:p>
    <w:p w14:paraId="3EDBA7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1.本项目施工设计图和设计预算等资料、正常的施工组织设计和施工方法及施工图设计中采用的相关规范、标准、技术资料；</w:t>
      </w:r>
    </w:p>
    <w:p w14:paraId="57E902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2.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陕水规计发〔2024〕107号文颁发的《陕西省水利工程设计概</w:t>
      </w:r>
    </w:p>
    <w:p w14:paraId="6AC18E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（估）算编制规定》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；</w:t>
      </w:r>
    </w:p>
    <w:p w14:paraId="37EA5D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5" w:leftChars="0" w:right="0" w:rightChars="0" w:hanging="425" w:firstLineChars="0"/>
        <w:jc w:val="both"/>
        <w:textAlignment w:val="auto"/>
        <w:outlineLvl w:val="9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.陕水规计发〔2024〕107号文颁发的《陕西省水利建筑工程预算定</w:t>
      </w:r>
    </w:p>
    <w:p w14:paraId="7C9741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5" w:leftChars="0" w:right="0" w:rightChars="0" w:hanging="425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额》（2024 年修正）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；</w:t>
      </w:r>
    </w:p>
    <w:p w14:paraId="44D6EF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5" w:leftChars="0" w:right="0" w:rightChars="0" w:hanging="5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.陕水规计发〔2024〕107 号颁发的《陕西省水利设备安装工程预算</w:t>
      </w:r>
    </w:p>
    <w:p w14:paraId="47E4E3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5" w:leftChars="0" w:right="0" w:rightChars="0" w:hanging="5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定额》（2024 年修正）；</w:t>
      </w:r>
    </w:p>
    <w:p w14:paraId="6555D0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5" w:leftChars="0" w:right="0" w:rightChars="0" w:hanging="5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5.陕水规计发〔2024〕107 号颁发的《陕西省水利工程施工机械台班</w:t>
      </w:r>
    </w:p>
    <w:p w14:paraId="0022F4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5" w:leftChars="0" w:right="0" w:rightChars="0" w:hanging="5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费定额》（2024 年修正）；</w:t>
      </w:r>
    </w:p>
    <w:p w14:paraId="7AA50E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6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水利部办公厅关于调整水利工程计价依据增值税计算标准的通知</w:t>
      </w:r>
    </w:p>
    <w:p w14:paraId="73961F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(办财务函(2019)448号)，税金按照9%;</w:t>
      </w:r>
    </w:p>
    <w:p w14:paraId="41A241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7.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人工预算单价:按(2024)107号文《陕西省水利工程设计概算编制规定》的规定，陕西省水利工程人工预算单价执行技工75元/工日，普工50元/工日;</w:t>
      </w:r>
    </w:p>
    <w:p w14:paraId="63579D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8.材料预算价格根据《渭南市市工程造价信息》2025 年第5 期信息价及市场调查价进行编制。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350EC5"/>
    <w:multiLevelType w:val="singleLevel"/>
    <w:tmpl w:val="22350EC5"/>
    <w:lvl w:ilvl="0" w:tentative="0">
      <w:start w:val="2"/>
      <w:numFmt w:val="chineseCounting"/>
      <w:suff w:val="nothing"/>
      <w:lvlText w:val="%1、"/>
      <w:lvlJc w:val="left"/>
      <w:pPr>
        <w:ind w:left="420" w:leftChars="0" w:firstLine="0" w:firstLineChars="0"/>
      </w:pPr>
      <w:rPr>
        <w:rFonts w:hint="eastAsia"/>
      </w:rPr>
    </w:lvl>
  </w:abstractNum>
  <w:abstractNum w:abstractNumId="1">
    <w:nsid w:val="76C37A2A"/>
    <w:multiLevelType w:val="singleLevel"/>
    <w:tmpl w:val="76C37A2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7CB2D55"/>
    <w:rsid w:val="2B3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524</Characters>
  <Lines>0</Lines>
  <Paragraphs>0</Paragraphs>
  <TotalTime>12</TotalTime>
  <ScaleCrop>false</ScaleCrop>
  <LinksUpToDate>false</LinksUpToDate>
  <CharactersWithSpaces>533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2026-03-17T06:39:00Z</dcterms:created>
  <dc:creator>pc</dc:creator>
  <cp:lastModifiedBy>随意鬼</cp:lastModifiedBy>
  <dcterms:modified xsi:type="dcterms:W3CDTF">2026-03-17T07:00:03Z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BE0F28CD0AFF48C4A11D7BD37CC11FC4_12</vt:lpwstr>
  </property>
</Properties>
</file>