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版本号：政采-华阴市-2026-0003120260319001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新门诊楼清洗保洁项目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政采-华阴市-2026-00031</w:t>
      </w:r>
      <w:r>
        <w:br/>
      </w:r>
      <w:r>
        <w:br/>
      </w:r>
      <w:r>
        <w:br/>
      </w:r>
    </w:p>
    <w:p>
      <w:pPr>
        <w:pStyle w:val="null3"/>
        <w:jc w:val="center"/>
        <w:outlineLvl w:val="2"/>
      </w:pPr>
      <w:r>
        <w:rPr>
          <w:rFonts w:ascii="仿宋_GB2312" w:hAnsi="仿宋_GB2312" w:cs="仿宋_GB2312" w:eastAsia="仿宋_GB2312"/>
          <w:sz w:val="28"/>
          <w:b/>
        </w:rPr>
        <w:t>华阴市人民医院</w:t>
      </w:r>
    </w:p>
    <w:p>
      <w:pPr>
        <w:pStyle w:val="null3"/>
        <w:jc w:val="center"/>
        <w:outlineLvl w:val="2"/>
      </w:pPr>
      <w:r>
        <w:rPr>
          <w:rFonts w:ascii="仿宋_GB2312" w:hAnsi="仿宋_GB2312" w:cs="仿宋_GB2312" w:eastAsia="仿宋_GB2312"/>
          <w:sz w:val="28"/>
          <w:b/>
        </w:rPr>
        <w:t>华阴市政府采购中心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华阴市政府采购中心</w:t>
      </w:r>
      <w:r>
        <w:rPr>
          <w:rFonts w:ascii="仿宋_GB2312" w:hAnsi="仿宋_GB2312" w:cs="仿宋_GB2312" w:eastAsia="仿宋_GB2312"/>
        </w:rPr>
        <w:t>（以下简称“代理机构”）受</w:t>
      </w:r>
      <w:r>
        <w:rPr>
          <w:rFonts w:ascii="仿宋_GB2312" w:hAnsi="仿宋_GB2312" w:cs="仿宋_GB2312" w:eastAsia="仿宋_GB2312"/>
        </w:rPr>
        <w:t>华阴市人民医院</w:t>
      </w:r>
      <w:r>
        <w:rPr>
          <w:rFonts w:ascii="仿宋_GB2312" w:hAnsi="仿宋_GB2312" w:cs="仿宋_GB2312" w:eastAsia="仿宋_GB2312"/>
        </w:rPr>
        <w:t>委托，拟对</w:t>
      </w:r>
      <w:r>
        <w:rPr>
          <w:rFonts w:ascii="仿宋_GB2312" w:hAnsi="仿宋_GB2312" w:cs="仿宋_GB2312" w:eastAsia="仿宋_GB2312"/>
        </w:rPr>
        <w:t>新门诊楼清洗保洁项目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政采-华阴市-2026-00031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新门诊楼清洗保洁项目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华阴市人民医院新门诊楼开荒保洁及外墙清洗服务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采购包1（新门诊楼清洗保洁项目）：属于专门面向中小企业采购。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1、提供供应商合法注册的法人或其他组织的营业执照等证明文件、自然人的身份证明：提供供应商合法注册的法人或其他组织的营业执照等证明文件、自然人的身份证明；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p>
      <w:pPr>
        <w:pStyle w:val="null3"/>
      </w:pPr>
      <w:r>
        <w:rPr>
          <w:rFonts w:ascii="仿宋_GB2312" w:hAnsi="仿宋_GB2312" w:cs="仿宋_GB2312" w:eastAsia="仿宋_GB2312"/>
        </w:rPr>
        <w:t>3、税收缴纳证明：税收缴纳证明：提供2025年3至今任意一个月的缴纳凭据；（增值税、企业所得税至少提供一种，依法免税的投标人应提供相关文件证明）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4、社会保障资金缴纳证明：社会保障资金缴纳证明：提供2025年9月至今任意一个月的社保缴纳凭据或社保机构开具的社会保险参保缴纳情况证明；（依法不需要缴纳社会保障资金的投标人应提供相关证明）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同时提供被授权人2025年12月至今任意一个月在本单位的社保资金缴纳凭证）；法定代表人直接参加磋商提供法定代表人资格证明书（附法定代表人身份证复印件）；采购文件凡是法定代表人之处，非法人单位的负责人均参照执行； (式样见竞争性磋商响应文件格式)</w:t>
      </w:r>
    </w:p>
    <w:p>
      <w:pPr>
        <w:pStyle w:val="null3"/>
      </w:pPr>
      <w:r>
        <w:rPr>
          <w:rFonts w:ascii="仿宋_GB2312" w:hAnsi="仿宋_GB2312" w:cs="仿宋_GB2312" w:eastAsia="仿宋_GB2312"/>
        </w:rPr>
        <w:t>8、信用信息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响应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9、控股关系查询：单位负责人为同一人或者存在直接控股、管理关系的不同供应商，不得参加同一合同项下的政府采购活动。(根据财库【2019】38号文规定，此项在磋商响应截止日当天在“国家企业信用信息公示系统”网站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华阴市人民医院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陕西省渭南市华阴市太华南路47号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0913-4612249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华阴市政府采购中心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华阴市东岳路华阴市财政局政府采购中心508室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杜军刚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0913-8373765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何涛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13759656664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采购包1：793,464.60元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华阴市人民医院</w:t>
      </w:r>
      <w:r>
        <w:rPr>
          <w:rFonts w:ascii="仿宋_GB2312" w:hAnsi="仿宋_GB2312" w:cs="仿宋_GB2312" w:eastAsia="仿宋_GB2312"/>
        </w:rPr>
        <w:t>和</w:t>
      </w:r>
      <w:r>
        <w:rPr>
          <w:rFonts w:ascii="仿宋_GB2312" w:hAnsi="仿宋_GB2312" w:cs="仿宋_GB2312" w:eastAsia="仿宋_GB2312"/>
        </w:rPr>
        <w:t>华阴市政府采购中心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华阴市人民医院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华阴市政府采购中心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华阴市人民医院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华阴市政府采购中心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华阴市政府采购中心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华阴市政府采购中心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华阴市政府采购中心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联系人：杜军刚</w:t>
      </w:r>
    </w:p>
    <w:p>
      <w:pPr>
        <w:pStyle w:val="null3"/>
      </w:pPr>
      <w:r>
        <w:rPr>
          <w:rFonts w:ascii="仿宋_GB2312" w:hAnsi="仿宋_GB2312" w:cs="仿宋_GB2312" w:eastAsia="仿宋_GB2312"/>
        </w:rPr>
        <w:t>联系电话：0913-8373765</w:t>
      </w:r>
    </w:p>
    <w:p>
      <w:pPr>
        <w:pStyle w:val="null3"/>
      </w:pPr>
      <w:r>
        <w:rPr>
          <w:rFonts w:ascii="仿宋_GB2312" w:hAnsi="仿宋_GB2312" w:cs="仿宋_GB2312" w:eastAsia="仿宋_GB2312"/>
        </w:rPr>
        <w:t>地址：华阴市东岳路华阴市财政局政府采购中心508室</w:t>
      </w:r>
    </w:p>
    <w:p>
      <w:pPr>
        <w:pStyle w:val="null3"/>
      </w:pPr>
      <w:r>
        <w:rPr>
          <w:rFonts w:ascii="仿宋_GB2312" w:hAnsi="仿宋_GB2312" w:cs="仿宋_GB2312" w:eastAsia="仿宋_GB2312"/>
        </w:rPr>
        <w:t>邮编：714200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华阴市人民医院新门诊楼开荒保洁及外墙清洗服务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793,464.60</w:t>
      </w:r>
    </w:p>
    <w:p>
      <w:pPr>
        <w:pStyle w:val="null3"/>
      </w:pPr>
      <w:r>
        <w:rPr>
          <w:rFonts w:ascii="仿宋_GB2312" w:hAnsi="仿宋_GB2312" w:cs="仿宋_GB2312" w:eastAsia="仿宋_GB2312"/>
        </w:rPr>
        <w:t>采购包最高限价（元）: 793,464.60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清洗保洁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793,464.60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标的名称：清洗保洁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w:t>
            </w:r>
            <w:r>
              <w:rPr>
                <w:rFonts w:ascii="仿宋_GB2312" w:hAnsi="仿宋_GB2312" w:cs="仿宋_GB2312" w:eastAsia="仿宋_GB2312"/>
                <w:sz w:val="18"/>
              </w:rPr>
              <w:t>服务范围</w:t>
            </w:r>
          </w:p>
          <w:p>
            <w:pPr>
              <w:pStyle w:val="null3"/>
              <w:ind w:firstLine="360"/>
              <w:jc w:val="both"/>
            </w:pPr>
            <w:r>
              <w:rPr>
                <w:rFonts w:ascii="仿宋_GB2312" w:hAnsi="仿宋_GB2312" w:cs="仿宋_GB2312" w:eastAsia="仿宋_GB2312"/>
                <w:sz w:val="18"/>
              </w:rPr>
              <w:t>本项目服务范围为华阴市人民医院新门诊楼开荒保洁及外墙清洗服务，其中开荒保洁服务内容包含门诊楼负一层、</w:t>
            </w:r>
            <w:r>
              <w:rPr>
                <w:rFonts w:ascii="仿宋_GB2312" w:hAnsi="仿宋_GB2312" w:cs="仿宋_GB2312" w:eastAsia="仿宋_GB2312"/>
                <w:sz w:val="18"/>
              </w:rPr>
              <w:t>1至16层室内顶面、墙面、地面、电梯、扶梯、卫生间等区域，开荒保洁服务面积38900平方米；外墙清洗服务内容包括门诊楼外立面玻璃幕墙、铝单板、格栅、百叶、石材幕墙、圆柱柱身、柱座、柱帽等区域，外墙清洗面积约30582平方米。详见下表：</w:t>
            </w:r>
          </w:p>
          <w:tbl>
            <w:tblPr>
              <w:tblInd w:type="dxa" w:w="90"/>
              <w:tblBorders>
                <w:top w:val="none" w:color="000000" w:sz="4"/>
                <w:left w:val="none" w:color="000000" w:sz="4"/>
                <w:bottom w:val="none" w:color="000000" w:sz="4"/>
                <w:right w:val="none" w:color="000000" w:sz="4"/>
                <w:insideH w:val="none"/>
                <w:insideV w:val="none"/>
              </w:tblBorders>
            </w:tblPr>
            <w:tblGrid>
              <w:gridCol w:w="781"/>
              <w:gridCol w:w="794"/>
              <w:gridCol w:w="967"/>
            </w:tblGrid>
            <w:tr>
              <w:tc>
                <w:tcPr>
                  <w:tcW w:type="dxa" w:w="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服务内容</w:t>
                  </w:r>
                </w:p>
              </w:tc>
              <w:tc>
                <w:tcPr>
                  <w:tcW w:type="dxa" w:w="7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清洗保洁项目</w:t>
                  </w:r>
                </w:p>
              </w:tc>
              <w:tc>
                <w:tcPr>
                  <w:tcW w:type="dxa" w:w="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面积（㎡）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开荒保洁</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室内建筑面积</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38900（含负一层地下室面积5400）</w:t>
                  </w:r>
                </w:p>
              </w:tc>
            </w:tr>
            <w:tr>
              <w:tc>
                <w:tcPr>
                  <w:tcW w:type="dxa" w:w="7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外墙清洗</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玻璃幕墙</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9120</w:t>
                  </w:r>
                </w:p>
              </w:tc>
            </w:tr>
            <w:tr>
              <w:tc>
                <w:tcPr>
                  <w:tcW w:type="dxa" w:w="781"/>
                  <w:vMerge/>
                  <w:tcBorders>
                    <w:top w:val="none" w:color="000000" w:sz="4"/>
                    <w:left w:val="single" w:color="000000" w:sz="4"/>
                    <w:bottom w:val="single" w:color="000000" w:sz="4"/>
                    <w:right w:val="single" w:color="000000" w:sz="4"/>
                  </w:tcBorders>
                </w:tcP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铝单板</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6408</w:t>
                  </w:r>
                </w:p>
              </w:tc>
            </w:tr>
            <w:tr>
              <w:tc>
                <w:tcPr>
                  <w:tcW w:type="dxa" w:w="781"/>
                  <w:vMerge/>
                  <w:tcBorders>
                    <w:top w:val="none" w:color="000000" w:sz="4"/>
                    <w:left w:val="single" w:color="000000" w:sz="4"/>
                    <w:bottom w:val="single" w:color="000000" w:sz="4"/>
                    <w:right w:val="single" w:color="000000" w:sz="4"/>
                  </w:tcBorders>
                </w:tcP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格栅</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360</w:t>
                  </w:r>
                </w:p>
              </w:tc>
            </w:tr>
            <w:tr>
              <w:tc>
                <w:tcPr>
                  <w:tcW w:type="dxa" w:w="781"/>
                  <w:vMerge/>
                  <w:tcBorders>
                    <w:top w:val="none" w:color="000000" w:sz="4"/>
                    <w:left w:val="single" w:color="000000" w:sz="4"/>
                    <w:bottom w:val="single" w:color="000000" w:sz="4"/>
                    <w:right w:val="single" w:color="000000" w:sz="4"/>
                  </w:tcBorders>
                </w:tcP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百页</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77</w:t>
                  </w:r>
                </w:p>
              </w:tc>
            </w:tr>
            <w:tr>
              <w:tc>
                <w:tcPr>
                  <w:tcW w:type="dxa" w:w="781"/>
                  <w:vMerge/>
                  <w:tcBorders>
                    <w:top w:val="none" w:color="000000" w:sz="4"/>
                    <w:left w:val="single" w:color="000000" w:sz="4"/>
                    <w:bottom w:val="single" w:color="000000" w:sz="4"/>
                    <w:right w:val="single" w:color="000000" w:sz="4"/>
                  </w:tcBorders>
                </w:tcP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石材幕墙</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14527</w:t>
                  </w:r>
                </w:p>
              </w:tc>
            </w:tr>
            <w:tr>
              <w:tc>
                <w:tcPr>
                  <w:tcW w:type="dxa" w:w="781"/>
                  <w:vMerge/>
                  <w:tcBorders>
                    <w:top w:val="none" w:color="000000" w:sz="4"/>
                    <w:left w:val="single" w:color="000000" w:sz="4"/>
                    <w:bottom w:val="single" w:color="000000" w:sz="4"/>
                    <w:right w:val="single" w:color="000000" w:sz="4"/>
                  </w:tcBorders>
                </w:tcP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圆柱柱身</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72</w:t>
                  </w:r>
                </w:p>
              </w:tc>
            </w:tr>
            <w:tr>
              <w:tc>
                <w:tcPr>
                  <w:tcW w:type="dxa" w:w="781"/>
                  <w:vMerge/>
                  <w:tcBorders>
                    <w:top w:val="none" w:color="000000" w:sz="4"/>
                    <w:left w:val="single" w:color="000000" w:sz="4"/>
                    <w:bottom w:val="single" w:color="000000" w:sz="4"/>
                    <w:right w:val="single" w:color="000000" w:sz="4"/>
                  </w:tcBorders>
                </w:tcP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柱座、帽</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18</w:t>
                  </w:r>
                </w:p>
              </w:tc>
            </w:tr>
          </w:tbl>
          <w:p>
            <w:pPr>
              <w:pStyle w:val="null3"/>
              <w:jc w:val="both"/>
            </w:pPr>
            <w:r>
              <w:rPr>
                <w:rFonts w:ascii="仿宋_GB2312" w:hAnsi="仿宋_GB2312" w:cs="仿宋_GB2312" w:eastAsia="仿宋_GB2312"/>
                <w:sz w:val="18"/>
              </w:rPr>
              <w:t>二、</w:t>
            </w:r>
            <w:r>
              <w:rPr>
                <w:rFonts w:ascii="仿宋_GB2312" w:hAnsi="仿宋_GB2312" w:cs="仿宋_GB2312" w:eastAsia="仿宋_GB2312"/>
                <w:sz w:val="18"/>
              </w:rPr>
              <w:t>技术要求</w:t>
            </w:r>
          </w:p>
          <w:p>
            <w:pPr>
              <w:pStyle w:val="null3"/>
              <w:jc w:val="both"/>
            </w:pPr>
            <w:r>
              <w:rPr>
                <w:rFonts w:ascii="仿宋_GB2312" w:hAnsi="仿宋_GB2312" w:cs="仿宋_GB2312" w:eastAsia="仿宋_GB2312"/>
                <w:sz w:val="18"/>
              </w:rPr>
              <w:t>（一）</w:t>
            </w:r>
            <w:r>
              <w:rPr>
                <w:rFonts w:ascii="仿宋_GB2312" w:hAnsi="仿宋_GB2312" w:cs="仿宋_GB2312" w:eastAsia="仿宋_GB2312"/>
                <w:sz w:val="18"/>
              </w:rPr>
              <w:t>开荒保洁要求</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开荒保洁需遵循</w:t>
            </w:r>
            <w:r>
              <w:rPr>
                <w:rFonts w:ascii="仿宋_GB2312" w:hAnsi="仿宋_GB2312" w:cs="仿宋_GB2312" w:eastAsia="仿宋_GB2312"/>
                <w:sz w:val="18"/>
              </w:rPr>
              <w:t>“先清垃圾、再做除尘、由上至下、分材处理、逐区验收”的原则，彻底清除装修遗留的漆点、胶迹、水泥块、铅笔痕等痕迹，做到无死角、无残留、无污渍。</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玻璃及窗框清洁需使用专用工具和防静电玻璃水，清除保护膜、水泥点等顽固污渍，擦拭后晶莹光亮、不沾灰；窗缝需做吸尘处理，确保无杂物堆积。</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对室内吊顶、天花板等设施进行除尘清洁，彻底清除装修遗留浮尘及蛛网，重点清理空调风口、灯具等设施表面积尘，做到无积灰、无蛛网、无浮尘堆积，确保设施洁净。</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地面清洁需按材质分类处理，选用对应专用清洁剂，选用对应专用清洁剂，彻底清除地面装修遗留的水泥渍、胶迹、浮尘及各类垃圾，做到地面洁净、无杂物、无浮尘、无明显污渍，无装修遗留污物。</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卫生间区域重点清洁顶面、墙面、洗手台、便池及排气扇等部位，使用专用清洁剂、医用级消毒剂等药剂，彻底清除装修遗留污物、浮尘及污渍，确保卫生间顶面无积灰、无蛛网，墙面洁净无污渍，洗手台、便池洁净无污垢、无异味，排气扇表面及出风口无积灰、无杂物残留。</w:t>
            </w:r>
          </w:p>
          <w:p>
            <w:pPr>
              <w:pStyle w:val="null3"/>
              <w:jc w:val="both"/>
            </w:pPr>
            <w:r>
              <w:rPr>
                <w:rFonts w:ascii="仿宋_GB2312" w:hAnsi="仿宋_GB2312" w:cs="仿宋_GB2312" w:eastAsia="仿宋_GB2312"/>
                <w:sz w:val="18"/>
              </w:rPr>
              <w:t>6.</w:t>
            </w:r>
            <w:r>
              <w:rPr>
                <w:rFonts w:ascii="仿宋_GB2312" w:hAnsi="仿宋_GB2312" w:cs="仿宋_GB2312" w:eastAsia="仿宋_GB2312"/>
                <w:sz w:val="18"/>
              </w:rPr>
              <w:t>门及框清洁需区分材质，用专用清洁剂擦拭，胶渍用除胶剂处理，做到从上到下无遗漏、无死角，表面洁净光亮。</w:t>
            </w:r>
          </w:p>
          <w:p>
            <w:pPr>
              <w:pStyle w:val="null3"/>
              <w:jc w:val="both"/>
            </w:pPr>
            <w:r>
              <w:rPr>
                <w:rFonts w:ascii="仿宋_GB2312" w:hAnsi="仿宋_GB2312" w:cs="仿宋_GB2312" w:eastAsia="仿宋_GB2312"/>
                <w:sz w:val="18"/>
              </w:rPr>
              <w:t>7.</w:t>
            </w:r>
            <w:r>
              <w:rPr>
                <w:rFonts w:ascii="仿宋_GB2312" w:hAnsi="仿宋_GB2312" w:cs="仿宋_GB2312" w:eastAsia="仿宋_GB2312"/>
                <w:sz w:val="18"/>
              </w:rPr>
              <w:t>机房、消防设施、电梯、楼梯及扶手、护栏等特殊区域，需做精细化除尘和清洁；电梯需彻底清除保护膜，轿门内槽无杂物、无胶迹，轿厢无手印、无痕迹；消防栓</w:t>
            </w:r>
            <w:r>
              <w:rPr>
                <w:rFonts w:ascii="仿宋_GB2312" w:hAnsi="仿宋_GB2312" w:cs="仿宋_GB2312" w:eastAsia="仿宋_GB2312"/>
                <w:sz w:val="18"/>
              </w:rPr>
              <w:t>/消防箱内外洁净、设备无积灰；楼梯台阶、扶手及护栏无装修遗留污物、无积灰，确保清洁到位、无死角。</w:t>
            </w:r>
          </w:p>
          <w:p>
            <w:pPr>
              <w:pStyle w:val="null3"/>
              <w:jc w:val="both"/>
            </w:pPr>
            <w:r>
              <w:rPr>
                <w:rFonts w:ascii="仿宋_GB2312" w:hAnsi="仿宋_GB2312" w:cs="仿宋_GB2312" w:eastAsia="仿宋_GB2312"/>
                <w:sz w:val="18"/>
              </w:rPr>
              <w:t>8.</w:t>
            </w:r>
            <w:r>
              <w:rPr>
                <w:rFonts w:ascii="仿宋_GB2312" w:hAnsi="仿宋_GB2312" w:cs="仿宋_GB2312" w:eastAsia="仿宋_GB2312"/>
                <w:sz w:val="18"/>
              </w:rPr>
              <w:t>保洁过程中产生的所有垃圾（含装修遗留垃圾、清洁废弃物等），及时收集分类，统一清运至采购人指定地点妥善存放，严禁随意丢弃、乱堆乱放，避免造成二次污染。</w:t>
            </w:r>
          </w:p>
          <w:p>
            <w:pPr>
              <w:pStyle w:val="null3"/>
              <w:jc w:val="both"/>
            </w:pPr>
            <w:r>
              <w:rPr>
                <w:rFonts w:ascii="仿宋_GB2312" w:hAnsi="仿宋_GB2312" w:cs="仿宋_GB2312" w:eastAsia="仿宋_GB2312"/>
                <w:sz w:val="18"/>
              </w:rPr>
              <w:t>（二）</w:t>
            </w:r>
            <w:r>
              <w:rPr>
                <w:rFonts w:ascii="仿宋_GB2312" w:hAnsi="仿宋_GB2312" w:cs="仿宋_GB2312" w:eastAsia="仿宋_GB2312"/>
                <w:sz w:val="18"/>
              </w:rPr>
              <w:t>外墙清洗要求</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外墙清洗包含门诊楼建筑所有外立面（含石材幕墙、铝单板、玻璃幕墙、百叶、立柱、格栅等材质）及附属雨棚、</w:t>
            </w:r>
            <w:r>
              <w:rPr>
                <w:rFonts w:ascii="仿宋_GB2312" w:hAnsi="仿宋_GB2312" w:cs="仿宋_GB2312" w:eastAsia="仿宋_GB2312"/>
                <w:sz w:val="18"/>
              </w:rPr>
              <w:t>Logo等，需彻底清除墙面污垢、水渍、灰尘、蛛网及附着物，做到表面洁净、色泽均匀、无明显污迹。</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玻璃幕墙清洗需使用玻璃刮、抹水器等工具，做到玻璃面洁净明亮、无水印、无划痕、不沾灰；幕墙胶缝、框架无积灰、无污渍。</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外墙清洗需根据墙面材质选择专用清洁剂，严禁使用腐蚀性药剂，避免对墙面、门窗、金属构件造成腐蚀或损坏；大理石、石材类外墙需做好防护，防止清洗过程中出现返碱、失光等问题。</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外墙清洗需注意做好成品防护，确保作业过程不损伤建筑外立面及周边设施、绿化等，不造成污水滴漏、扬尘等二次污染。</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外墙清洗完成后，及时清理地面掉落污渍、污水等，做到</w:t>
            </w:r>
            <w:r>
              <w:rPr>
                <w:rFonts w:ascii="仿宋_GB2312" w:hAnsi="仿宋_GB2312" w:cs="仿宋_GB2312" w:eastAsia="仿宋_GB2312"/>
                <w:sz w:val="18"/>
              </w:rPr>
              <w:t>“工完场清”。</w:t>
            </w:r>
          </w:p>
          <w:p>
            <w:pPr>
              <w:pStyle w:val="null3"/>
              <w:jc w:val="both"/>
            </w:pPr>
            <w:r>
              <w:rPr>
                <w:rFonts w:ascii="仿宋_GB2312" w:hAnsi="仿宋_GB2312" w:cs="仿宋_GB2312" w:eastAsia="仿宋_GB2312"/>
                <w:sz w:val="18"/>
              </w:rPr>
              <w:t>三、</w:t>
            </w:r>
            <w:r>
              <w:rPr>
                <w:rFonts w:ascii="仿宋_GB2312" w:hAnsi="仿宋_GB2312" w:cs="仿宋_GB2312" w:eastAsia="仿宋_GB2312"/>
                <w:sz w:val="18"/>
              </w:rPr>
              <w:t>设备设施及耗材要求</w:t>
            </w:r>
          </w:p>
          <w:p>
            <w:pPr>
              <w:pStyle w:val="null3"/>
              <w:jc w:val="both"/>
            </w:pPr>
            <w:r>
              <w:rPr>
                <w:rFonts w:ascii="仿宋_GB2312" w:hAnsi="仿宋_GB2312" w:cs="仿宋_GB2312" w:eastAsia="仿宋_GB2312"/>
                <w:sz w:val="18"/>
              </w:rPr>
              <w:t>供应商需为本项目自备完成全流程作业所需的全部设备、工具、设施及耗材，所有物资均需严格符合国家相关安全、环保及行业标准规范要求，确保满足本项目开荒保洁及外墙清洗的全部作业需求，且不对人体、设备及建筑材质造成任何损害。</w:t>
            </w:r>
          </w:p>
          <w:p>
            <w:pPr>
              <w:pStyle w:val="null3"/>
              <w:jc w:val="both"/>
            </w:pPr>
            <w:r>
              <w:rPr>
                <w:rFonts w:ascii="仿宋_GB2312" w:hAnsi="仿宋_GB2312" w:cs="仿宋_GB2312" w:eastAsia="仿宋_GB2312"/>
                <w:sz w:val="18"/>
              </w:rPr>
              <w:t>四、</w:t>
            </w:r>
            <w:r>
              <w:rPr>
                <w:rFonts w:ascii="仿宋_GB2312" w:hAnsi="仿宋_GB2312" w:cs="仿宋_GB2312" w:eastAsia="仿宋_GB2312"/>
                <w:sz w:val="18"/>
              </w:rPr>
              <w:t>服务要求</w:t>
            </w:r>
          </w:p>
          <w:p>
            <w:pPr>
              <w:pStyle w:val="null3"/>
              <w:jc w:val="both"/>
            </w:pPr>
            <w:r>
              <w:rPr>
                <w:rFonts w:ascii="仿宋_GB2312" w:hAnsi="仿宋_GB2312" w:cs="仿宋_GB2312" w:eastAsia="仿宋_GB2312"/>
                <w:sz w:val="18"/>
              </w:rPr>
              <w:t>（一）</w:t>
            </w:r>
            <w:r>
              <w:rPr>
                <w:rFonts w:ascii="仿宋_GB2312" w:hAnsi="仿宋_GB2312" w:cs="仿宋_GB2312" w:eastAsia="仿宋_GB2312"/>
                <w:sz w:val="18"/>
              </w:rPr>
              <w:t>质量要求</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供应商需设立项目专属负责人，全程驻守现场组织作业，负责人员管理、作业质量监管、进度把控及后勤保障，确保所有作业按合同约定执行。</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开荒保洁及外墙清洗作业完成后，供应商需先进行全面自检，确认无遗漏、无质量问题后，提交采购人验收；验收不合格的区域，需在采购人规定时限内无偿整改，直至达到标准。</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若采购人在作业过程或验收中发现不符合作业标准的任意一项，供应商未在规定时限内有效整改的，采购人有权扣除服务费用；连续</w:t>
            </w:r>
            <w:r>
              <w:rPr>
                <w:rFonts w:ascii="仿宋_GB2312" w:hAnsi="仿宋_GB2312" w:cs="仿宋_GB2312" w:eastAsia="仿宋_GB2312"/>
                <w:sz w:val="18"/>
              </w:rPr>
              <w:t>5次出现质量问题且未整改的，采购人有权无责解除合同。</w:t>
            </w:r>
          </w:p>
          <w:p>
            <w:pPr>
              <w:pStyle w:val="null3"/>
              <w:jc w:val="both"/>
            </w:pPr>
            <w:r>
              <w:rPr>
                <w:rFonts w:ascii="仿宋_GB2312" w:hAnsi="仿宋_GB2312" w:cs="仿宋_GB2312" w:eastAsia="仿宋_GB2312"/>
                <w:sz w:val="18"/>
              </w:rPr>
              <w:t>（二）</w:t>
            </w:r>
            <w:r>
              <w:rPr>
                <w:rFonts w:ascii="仿宋_GB2312" w:hAnsi="仿宋_GB2312" w:cs="仿宋_GB2312" w:eastAsia="仿宋_GB2312"/>
                <w:sz w:val="18"/>
              </w:rPr>
              <w:t>安全要求</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供应商需对项目所有安全风险因素（高空作业、用电、化学品使用、区域防护等）进行全面分析，制定完善的风险防范方案及应急预案，作业过程中采取可靠的安全防护措施。</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高空作业人员（含外墙清洗、室内登高作业）需按国家相关要求持有高空作业证，持证上岗；高空作业时必须佩戴安全带、安全帽等防护装备，使用人字梯时需</w:t>
            </w:r>
            <w:r>
              <w:rPr>
                <w:rFonts w:ascii="仿宋_GB2312" w:hAnsi="仿宋_GB2312" w:cs="仿宋_GB2312" w:eastAsia="仿宋_GB2312"/>
                <w:sz w:val="18"/>
              </w:rPr>
              <w:t>2人协同作业，确保安全。</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作业人员需遵守专用安全操作规范：穿平底防滑鞋，禁止穿高跟鞋</w:t>
            </w:r>
            <w:r>
              <w:rPr>
                <w:rFonts w:ascii="仿宋_GB2312" w:hAnsi="仿宋_GB2312" w:cs="仿宋_GB2312" w:eastAsia="仿宋_GB2312"/>
                <w:sz w:val="18"/>
              </w:rPr>
              <w:t>/拖鞋；搬运重物戴手套；不触碰不熟悉的电源设施；刀片不装入口袋；不在工作区域快速跑动；用电需接采购人指定连接点，电线及用电设备符合绝缘要求。</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化学品（清洁剂、药剂）需按规定分类存放，专人管理，严禁混用；百洁布、钢丝球、铲刀等工具，严禁在规定的易损材质表面使用。</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作业过程中若造成医院建筑、设施、设备损坏或物品丢失，供应商需立即向采购人报告，并按原价赔偿。</w:t>
            </w:r>
          </w:p>
          <w:p>
            <w:pPr>
              <w:pStyle w:val="null3"/>
              <w:jc w:val="both"/>
            </w:pPr>
            <w:r>
              <w:rPr>
                <w:rFonts w:ascii="仿宋_GB2312" w:hAnsi="仿宋_GB2312" w:cs="仿宋_GB2312" w:eastAsia="仿宋_GB2312"/>
                <w:sz w:val="18"/>
              </w:rPr>
              <w:t>6.</w:t>
            </w:r>
            <w:r>
              <w:rPr>
                <w:rFonts w:ascii="仿宋_GB2312" w:hAnsi="仿宋_GB2312" w:cs="仿宋_GB2312" w:eastAsia="仿宋_GB2312"/>
                <w:sz w:val="18"/>
              </w:rPr>
              <w:t>本项目服务过程中发生的一切安全责任由成交供应商自行负全责，与采购人无关。（在响应文件中须单独提供承诺函，承诺函格式自拟）</w:t>
            </w:r>
          </w:p>
          <w:p>
            <w:pPr>
              <w:pStyle w:val="null3"/>
              <w:jc w:val="both"/>
            </w:pPr>
            <w:r>
              <w:rPr>
                <w:rFonts w:ascii="仿宋_GB2312" w:hAnsi="仿宋_GB2312" w:cs="仿宋_GB2312" w:eastAsia="仿宋_GB2312"/>
                <w:sz w:val="18"/>
              </w:rPr>
              <w:t>（三）</w:t>
            </w:r>
            <w:r>
              <w:rPr>
                <w:rFonts w:ascii="仿宋_GB2312" w:hAnsi="仿宋_GB2312" w:cs="仿宋_GB2312" w:eastAsia="仿宋_GB2312"/>
                <w:sz w:val="18"/>
              </w:rPr>
              <w:t>文明施工要求</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供应商需为本项目配备足够的专业作业人员，人员数量满足采购人各时间节点的进度要求，所有人员需经岗前培训合格后上岗，遵守医院的各项规章制度。</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作业区域需按规定设置明显的警示标识，避免无关人员进入作业区域；作业过程中不得妨碍医院正常秩序。</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作业人员工作时间不做与本职无关的事，不饮酒，不在工作区域用餐、休息；服从采购人及项目负责人的工作安排，按时、按质、按量完成作业。</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作业过程中做到工完场清，清洁工具、耗材、设备需按规定存放整齐，不随地摆放、乱扔乱丢；污水、垃圾需分类收集、及时清理，避免造成二次污染。</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供应商作业人员需保持仪容整洁，言行文明，不随意触碰、翻动医院的设备、物品，严禁偷盗行为，一经发现，采购人有权立即终止合作并追究相关责任。</w:t>
            </w:r>
          </w:p>
          <w:p>
            <w:pPr>
              <w:pStyle w:val="null3"/>
              <w:jc w:val="both"/>
            </w:pPr>
            <w:r>
              <w:rPr>
                <w:rFonts w:ascii="仿宋_GB2312" w:hAnsi="仿宋_GB2312" w:cs="仿宋_GB2312" w:eastAsia="仿宋_GB2312"/>
                <w:sz w:val="18"/>
              </w:rPr>
              <w:t>（四）</w:t>
            </w:r>
            <w:r>
              <w:rPr>
                <w:rFonts w:ascii="仿宋_GB2312" w:hAnsi="仿宋_GB2312" w:cs="仿宋_GB2312" w:eastAsia="仿宋_GB2312"/>
                <w:sz w:val="18"/>
              </w:rPr>
              <w:t>其他要求</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人员管理：供应商需与所有作业人员签订合法</w:t>
            </w:r>
            <w:r>
              <w:rPr>
                <w:rFonts w:ascii="仿宋_GB2312" w:hAnsi="仿宋_GB2312" w:cs="仿宋_GB2312" w:eastAsia="仿宋_GB2312"/>
                <w:sz w:val="18"/>
              </w:rPr>
              <w:t>劳务</w:t>
            </w:r>
            <w:r>
              <w:rPr>
                <w:rFonts w:ascii="仿宋_GB2312" w:hAnsi="仿宋_GB2312" w:cs="仿宋_GB2312" w:eastAsia="仿宋_GB2312"/>
                <w:sz w:val="18"/>
              </w:rPr>
              <w:t>合同，并按国家规定为</w:t>
            </w:r>
            <w:r>
              <w:rPr>
                <w:rFonts w:ascii="仿宋_GB2312" w:hAnsi="仿宋_GB2312" w:cs="仿宋_GB2312" w:eastAsia="仿宋_GB2312"/>
                <w:sz w:val="18"/>
              </w:rPr>
              <w:t>高空作业人员</w:t>
            </w:r>
            <w:r>
              <w:rPr>
                <w:rFonts w:ascii="仿宋_GB2312" w:hAnsi="仿宋_GB2312" w:cs="仿宋_GB2312" w:eastAsia="仿宋_GB2312"/>
                <w:sz w:val="18"/>
              </w:rPr>
              <w:t>购买保险；若因未购买保险引发的一切后果，由供应商承担全部责任；因供应商违反《劳动法》等法律法规造成采购人连带责任和损失的，全部由供应商承担。</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全程负责：供应商需自行负责作业人员的组织、管理、培训及安全保障，严格遵守国家相关法律、法规及行业标准，建立完善的质量控制体系，确保服务系统安全、高效、有序运转。</w:t>
            </w:r>
          </w:p>
          <w:p>
            <w:pPr>
              <w:pStyle w:val="null3"/>
              <w:jc w:val="both"/>
            </w:pPr>
            <w:r>
              <w:rPr>
                <w:rFonts w:ascii="仿宋_GB2312" w:hAnsi="仿宋_GB2312" w:cs="仿宋_GB2312" w:eastAsia="仿宋_GB2312"/>
              </w:rPr>
              <w:t>注：以上内容为实质性要求，不得负偏离。</w:t>
            </w:r>
          </w:p>
          <w:p>
            <w:pPr>
              <w:pStyle w:val="null3"/>
              <w:jc w:val="both"/>
            </w:pP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18"/>
                <w:b/>
              </w:rPr>
              <w:t>验收标准</w:t>
            </w:r>
          </w:p>
          <w:p>
            <w:pPr>
              <w:pStyle w:val="null3"/>
              <w:jc w:val="left"/>
            </w:pPr>
            <w:r>
              <w:rPr>
                <w:rFonts w:ascii="仿宋_GB2312" w:hAnsi="仿宋_GB2312" w:cs="仿宋_GB2312" w:eastAsia="仿宋_GB2312"/>
                <w:sz w:val="18"/>
                <w:b/>
                <w:color w:val="000000"/>
              </w:rPr>
              <w:t>（一）室内开荒保洁验收标准（按区域</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材质）</w:t>
            </w:r>
          </w:p>
          <w:tbl>
            <w:tblPr>
              <w:tblBorders>
                <w:top w:val="none" w:color="000000" w:sz="4"/>
                <w:left w:val="none" w:color="000000" w:sz="4"/>
                <w:bottom w:val="none" w:color="000000" w:sz="4"/>
                <w:right w:val="none" w:color="000000" w:sz="4"/>
                <w:insideH w:val="none"/>
                <w:insideV w:val="none"/>
              </w:tblBorders>
            </w:tblPr>
            <w:tblGrid>
              <w:gridCol w:w="871"/>
              <w:gridCol w:w="1677"/>
            </w:tblGrid>
            <w:tr>
              <w:tc>
                <w:tcPr>
                  <w:tcW w:type="dxa" w:w="871"/>
                  <w:tcBorders>
                    <w:top w:val="singl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18"/>
                    </w:rPr>
                    <w:t>区域</w:t>
                  </w:r>
                  <w:r>
                    <w:rPr>
                      <w:rFonts w:ascii="仿宋_GB2312" w:hAnsi="仿宋_GB2312" w:cs="仿宋_GB2312" w:eastAsia="仿宋_GB2312"/>
                      <w:sz w:val="18"/>
                    </w:rPr>
                    <w:t>/材质</w:t>
                  </w:r>
                </w:p>
              </w:tc>
              <w:tc>
                <w:tcPr>
                  <w:tcW w:type="dxa" w:w="1677"/>
                  <w:tcBorders>
                    <w:top w:val="singl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18"/>
                    </w:rPr>
                    <w:t>核心验收标准</w:t>
                  </w:r>
                </w:p>
              </w:tc>
            </w:tr>
            <w:tr>
              <w:tc>
                <w:tcPr>
                  <w:tcW w:type="dxa" w:w="87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18"/>
                    </w:rPr>
                    <w:t>墙面（乳胶漆</w:t>
                  </w:r>
                  <w:r>
                    <w:rPr>
                      <w:rFonts w:ascii="仿宋_GB2312" w:hAnsi="仿宋_GB2312" w:cs="仿宋_GB2312" w:eastAsia="仿宋_GB2312"/>
                      <w:sz w:val="18"/>
                    </w:rPr>
                    <w:t>/瓷砖/石材等）</w:t>
                  </w:r>
                </w:p>
              </w:tc>
              <w:tc>
                <w:tcPr>
                  <w:tcW w:type="dxa" w:w="167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18"/>
                    </w:rPr>
                    <w:t>无灰尘、污渍、胶迹、水泥点，无划痕、脱皮，阴阳角洁净</w:t>
                  </w:r>
                </w:p>
              </w:tc>
            </w:tr>
            <w:tr>
              <w:tc>
                <w:tcPr>
                  <w:tcW w:type="dxa" w:w="87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18"/>
                    </w:rPr>
                    <w:t>地面（瓷砖</w:t>
                  </w:r>
                  <w:r>
                    <w:rPr>
                      <w:rFonts w:ascii="仿宋_GB2312" w:hAnsi="仿宋_GB2312" w:cs="仿宋_GB2312" w:eastAsia="仿宋_GB2312"/>
                      <w:sz w:val="18"/>
                    </w:rPr>
                    <w:t>/石材/环氧地坪等）</w:t>
                  </w:r>
                </w:p>
              </w:tc>
              <w:tc>
                <w:tcPr>
                  <w:tcW w:type="dxa" w:w="167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18"/>
                    </w:rPr>
                    <w:t>无灰尘、泥沙、污渍，无划痕、积水，缝隙无杂物</w:t>
                  </w:r>
                </w:p>
              </w:tc>
            </w:tr>
            <w:tr>
              <w:tc>
                <w:tcPr>
                  <w:tcW w:type="dxa" w:w="87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18"/>
                    </w:rPr>
                    <w:t>室内玻璃</w:t>
                  </w:r>
                </w:p>
              </w:tc>
              <w:tc>
                <w:tcPr>
                  <w:tcW w:type="dxa" w:w="167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18"/>
                    </w:rPr>
                    <w:t>无灰尘、水渍、指纹印，透光良好，边缘无污垢</w:t>
                  </w:r>
                </w:p>
              </w:tc>
            </w:tr>
            <w:tr>
              <w:tc>
                <w:tcPr>
                  <w:tcW w:type="dxa" w:w="87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18"/>
                    </w:rPr>
                    <w:t>吊顶</w:t>
                  </w:r>
                </w:p>
              </w:tc>
              <w:tc>
                <w:tcPr>
                  <w:tcW w:type="dxa" w:w="167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18"/>
                    </w:rPr>
                    <w:t>无灰尘、蛛网，无变形、松动，缝隙无杂物堆积</w:t>
                  </w:r>
                </w:p>
              </w:tc>
            </w:tr>
            <w:tr>
              <w:tc>
                <w:tcPr>
                  <w:tcW w:type="dxa" w:w="87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18"/>
                    </w:rPr>
                    <w:t>门窗</w:t>
                  </w:r>
                  <w:r>
                    <w:rPr>
                      <w:rFonts w:ascii="仿宋_GB2312" w:hAnsi="仿宋_GB2312" w:cs="仿宋_GB2312" w:eastAsia="仿宋_GB2312"/>
                      <w:sz w:val="18"/>
                    </w:rPr>
                    <w:t>/踢脚线</w:t>
                  </w:r>
                </w:p>
              </w:tc>
              <w:tc>
                <w:tcPr>
                  <w:tcW w:type="dxa" w:w="167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18"/>
                    </w:rPr>
                    <w:t>表面洁净无污渍，无划痕、变形</w:t>
                  </w:r>
                </w:p>
              </w:tc>
            </w:tr>
          </w:tbl>
          <w:p>
            <w:pPr>
              <w:pStyle w:val="null3"/>
              <w:jc w:val="left"/>
            </w:pPr>
            <w:r>
              <w:rPr>
                <w:rFonts w:ascii="仿宋_GB2312" w:hAnsi="仿宋_GB2312" w:cs="仿宋_GB2312" w:eastAsia="仿宋_GB2312"/>
                <w:sz w:val="18"/>
                <w:b/>
                <w:color w:val="000000"/>
              </w:rPr>
              <w:t>（二）</w:t>
            </w:r>
            <w:r>
              <w:rPr>
                <w:rFonts w:ascii="仿宋_GB2312" w:hAnsi="仿宋_GB2312" w:cs="仿宋_GB2312" w:eastAsia="仿宋_GB2312"/>
                <w:sz w:val="18"/>
                <w:b/>
                <w:color w:val="000000"/>
              </w:rPr>
              <w:t>外墙清洗验收标准</w:t>
            </w:r>
          </w:p>
          <w:tbl>
            <w:tblPr>
              <w:tblBorders>
                <w:top w:val="none" w:color="000000" w:sz="4"/>
                <w:left w:val="none" w:color="000000" w:sz="4"/>
                <w:bottom w:val="none" w:color="000000" w:sz="4"/>
                <w:right w:val="none" w:color="000000" w:sz="4"/>
                <w:insideH w:val="none"/>
                <w:insideV w:val="none"/>
              </w:tblBorders>
            </w:tblPr>
            <w:tblGrid>
              <w:gridCol w:w="576"/>
              <w:gridCol w:w="1972"/>
            </w:tblGrid>
            <w:tr>
              <w:tc>
                <w:tcPr>
                  <w:tcW w:type="dxa" w:w="576"/>
                  <w:tcBorders>
                    <w:top w:val="singl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18"/>
                      <w:b/>
                    </w:rPr>
                    <w:t>材质类型</w:t>
                  </w:r>
                </w:p>
              </w:tc>
              <w:tc>
                <w:tcPr>
                  <w:tcW w:type="dxa" w:w="1972"/>
                  <w:tcBorders>
                    <w:top w:val="singl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18"/>
                      <w:b/>
                    </w:rPr>
                    <w:t>核心验收标准</w:t>
                  </w:r>
                </w:p>
              </w:tc>
            </w:tr>
            <w:tr>
              <w:tc>
                <w:tcPr>
                  <w:tcW w:type="dxa" w:w="576"/>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18"/>
                    </w:rPr>
                    <w:t>玻璃幕墙</w:t>
                  </w:r>
                </w:p>
              </w:tc>
              <w:tc>
                <w:tcPr>
                  <w:tcW w:type="dxa" w:w="1972"/>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left"/>
                  </w:pPr>
                  <w:r>
                    <w:rPr>
                      <w:rFonts w:ascii="仿宋_GB2312" w:hAnsi="仿宋_GB2312" w:cs="仿宋_GB2312" w:eastAsia="仿宋_GB2312"/>
                      <w:sz w:val="18"/>
                    </w:rPr>
                    <w:t>无灰尘、污渍、水渍、胶迹、划痕，透光清晰，边缘无污垢</w:t>
                  </w:r>
                </w:p>
              </w:tc>
            </w:tr>
            <w:tr>
              <w:tc>
                <w:tcPr>
                  <w:tcW w:type="dxa" w:w="576"/>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18"/>
                    </w:rPr>
                    <w:t>铝单板</w:t>
                  </w:r>
                </w:p>
              </w:tc>
              <w:tc>
                <w:tcPr>
                  <w:tcW w:type="dxa" w:w="1972"/>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left"/>
                  </w:pPr>
                  <w:r>
                    <w:rPr>
                      <w:rFonts w:ascii="仿宋_GB2312" w:hAnsi="仿宋_GB2312" w:cs="仿宋_GB2312" w:eastAsia="仿宋_GB2312"/>
                      <w:sz w:val="18"/>
                    </w:rPr>
                    <w:t>表面洁净无油污、锈迹，拼接缝无杂物，无变形、脱漆</w:t>
                  </w:r>
                </w:p>
              </w:tc>
            </w:tr>
            <w:tr>
              <w:tc>
                <w:tcPr>
                  <w:tcW w:type="dxa" w:w="576"/>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18"/>
                    </w:rPr>
                    <w:t>格栅、百叶</w:t>
                  </w:r>
                </w:p>
              </w:tc>
              <w:tc>
                <w:tcPr>
                  <w:tcW w:type="dxa" w:w="1972"/>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left"/>
                  </w:pPr>
                  <w:r>
                    <w:rPr>
                      <w:rFonts w:ascii="仿宋_GB2312" w:hAnsi="仿宋_GB2312" w:cs="仿宋_GB2312" w:eastAsia="仿宋_GB2312"/>
                      <w:sz w:val="18"/>
                    </w:rPr>
                    <w:t>无灰尘、蛛网、杂物堵塞，无锈蚀、变形、松动</w:t>
                  </w:r>
                </w:p>
              </w:tc>
            </w:tr>
            <w:tr>
              <w:tc>
                <w:tcPr>
                  <w:tcW w:type="dxa" w:w="576"/>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18"/>
                    </w:rPr>
                    <w:t>石材幕墙</w:t>
                  </w:r>
                  <w:r>
                    <w:rPr>
                      <w:rFonts w:ascii="仿宋_GB2312" w:hAnsi="仿宋_GB2312" w:cs="仿宋_GB2312" w:eastAsia="仿宋_GB2312"/>
                      <w:sz w:val="18"/>
                    </w:rPr>
                    <w:t>/圆柱</w:t>
                  </w:r>
                </w:p>
              </w:tc>
              <w:tc>
                <w:tcPr>
                  <w:tcW w:type="dxa" w:w="1972"/>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left"/>
                  </w:pPr>
                  <w:r>
                    <w:rPr>
                      <w:rFonts w:ascii="仿宋_GB2312" w:hAnsi="仿宋_GB2312" w:cs="仿宋_GB2312" w:eastAsia="仿宋_GB2312"/>
                      <w:sz w:val="18"/>
                    </w:rPr>
                    <w:t>无污渍、水泥渍、划痕，色泽均匀，无返碱、掉块，边缘无损伤</w:t>
                  </w:r>
                </w:p>
              </w:tc>
            </w:tr>
          </w:tbl>
          <w:p>
            <w:pPr>
              <w:pStyle w:val="null3"/>
              <w:jc w:val="left"/>
            </w:pPr>
            <w:r>
              <w:rPr>
                <w:rFonts w:ascii="仿宋_GB2312" w:hAnsi="仿宋_GB2312" w:cs="仿宋_GB2312" w:eastAsia="仿宋_GB2312"/>
                <w:sz w:val="18"/>
                <w:b/>
                <w:color w:val="000000"/>
              </w:rPr>
              <w:t>（三）</w:t>
            </w:r>
            <w:r>
              <w:rPr>
                <w:rFonts w:ascii="仿宋_GB2312" w:hAnsi="仿宋_GB2312" w:cs="仿宋_GB2312" w:eastAsia="仿宋_GB2312"/>
                <w:sz w:val="18"/>
                <w:b/>
                <w:color w:val="000000"/>
              </w:rPr>
              <w:t>验收流程</w:t>
            </w:r>
          </w:p>
          <w:p>
            <w:pPr>
              <w:pStyle w:val="null3"/>
              <w:spacing w:before="120" w:after="120"/>
              <w:jc w:val="left"/>
            </w:pPr>
            <w:r>
              <w:rPr>
                <w:rFonts w:ascii="仿宋_GB2312" w:hAnsi="仿宋_GB2312" w:cs="仿宋_GB2312" w:eastAsia="仿宋_GB2312"/>
                <w:sz w:val="18"/>
              </w:rPr>
              <w:t>1.</w:t>
            </w:r>
            <w:r>
              <w:rPr>
                <w:rFonts w:ascii="仿宋_GB2312" w:hAnsi="仿宋_GB2312" w:cs="仿宋_GB2312" w:eastAsia="仿宋_GB2312"/>
                <w:sz w:val="18"/>
              </w:rPr>
              <w:t>检查方式：目测</w:t>
            </w:r>
            <w:r>
              <w:rPr>
                <w:rFonts w:ascii="仿宋_GB2312" w:hAnsi="仿宋_GB2312" w:cs="仿宋_GB2312" w:eastAsia="仿宋_GB2312"/>
                <w:sz w:val="18"/>
              </w:rPr>
              <w:t>+干手套触摸，无明显污渍即合格；</w:t>
            </w:r>
          </w:p>
          <w:p>
            <w:pPr>
              <w:pStyle w:val="null3"/>
              <w:spacing w:before="120" w:after="120"/>
              <w:jc w:val="left"/>
            </w:pPr>
            <w:r>
              <w:rPr>
                <w:rFonts w:ascii="仿宋_GB2312" w:hAnsi="仿宋_GB2312" w:cs="仿宋_GB2312" w:eastAsia="仿宋_GB2312"/>
                <w:sz w:val="18"/>
              </w:rPr>
              <w:t>2.</w:t>
            </w:r>
            <w:r>
              <w:rPr>
                <w:rFonts w:ascii="仿宋_GB2312" w:hAnsi="仿宋_GB2312" w:cs="仿宋_GB2312" w:eastAsia="仿宋_GB2312"/>
                <w:sz w:val="18"/>
              </w:rPr>
              <w:t>抽样要求：普通区域抽检</w:t>
            </w:r>
            <w:r>
              <w:rPr>
                <w:rFonts w:ascii="仿宋_GB2312" w:hAnsi="仿宋_GB2312" w:cs="仿宋_GB2312" w:eastAsia="仿宋_GB2312"/>
                <w:sz w:val="18"/>
              </w:rPr>
              <w:t>≥30%，重点区域全覆盖；</w:t>
            </w:r>
          </w:p>
          <w:p>
            <w:pPr>
              <w:pStyle w:val="null3"/>
              <w:spacing w:before="120" w:after="120"/>
              <w:jc w:val="left"/>
            </w:pPr>
            <w:r>
              <w:rPr>
                <w:rFonts w:ascii="仿宋_GB2312" w:hAnsi="仿宋_GB2312" w:cs="仿宋_GB2312" w:eastAsia="仿宋_GB2312"/>
                <w:sz w:val="18"/>
              </w:rPr>
              <w:t>3.</w:t>
            </w:r>
            <w:r>
              <w:rPr>
                <w:rFonts w:ascii="仿宋_GB2312" w:hAnsi="仿宋_GB2312" w:cs="仿宋_GB2312" w:eastAsia="仿宋_GB2312"/>
                <w:sz w:val="18"/>
              </w:rPr>
              <w:t>整改与确认：不合格项限期整改复验，合格后双方签署《验收确认单》。</w:t>
            </w:r>
          </w:p>
          <w:p>
            <w:pPr>
              <w:pStyle w:val="null3"/>
              <w:jc w:val="both"/>
            </w:pPr>
            <w:r>
              <w:rPr>
                <w:rFonts w:ascii="仿宋_GB2312" w:hAnsi="仿宋_GB2312" w:cs="仿宋_GB2312" w:eastAsia="仿宋_GB2312"/>
                <w:sz w:val="18"/>
                <w:b/>
              </w:rPr>
              <w:t>附件：</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18"/>
                <w:b/>
              </w:rPr>
              <w:t>验收确认单</w:t>
            </w:r>
          </w:p>
          <w:tbl>
            <w:tblPr>
              <w:tblBorders>
                <w:top w:val="none" w:color="000000" w:sz="4"/>
                <w:left w:val="none" w:color="000000" w:sz="4"/>
                <w:bottom w:val="none" w:color="000000" w:sz="4"/>
                <w:right w:val="none" w:color="000000" w:sz="4"/>
                <w:insideH w:val="none"/>
                <w:insideV w:val="none"/>
              </w:tblBorders>
            </w:tblPr>
            <w:tblGrid>
              <w:gridCol w:w="383"/>
              <w:gridCol w:w="540"/>
              <w:gridCol w:w="224"/>
              <w:gridCol w:w="224"/>
              <w:gridCol w:w="224"/>
              <w:gridCol w:w="224"/>
              <w:gridCol w:w="224"/>
              <w:gridCol w:w="509"/>
            </w:tblGrid>
            <w:tr>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项目名称</w:t>
                  </w:r>
                </w:p>
              </w:tc>
              <w:tc>
                <w:tcPr>
                  <w:tcW w:type="dxa" w:w="2169"/>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委托单位</w:t>
                  </w:r>
                </w:p>
              </w:tc>
              <w:tc>
                <w:tcPr>
                  <w:tcW w:type="dxa" w:w="98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施工单位</w:t>
                  </w:r>
                </w:p>
              </w:tc>
              <w:tc>
                <w:tcPr>
                  <w:tcW w:type="dxa" w:w="73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验收区域</w:t>
                  </w:r>
                </w:p>
              </w:tc>
              <w:tc>
                <w:tcPr>
                  <w:tcW w:type="dxa" w:w="98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验收日期</w:t>
                  </w:r>
                </w:p>
              </w:tc>
              <w:tc>
                <w:tcPr>
                  <w:tcW w:type="dxa" w:w="7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2"/>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验收内容</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验收类别</w:t>
                  </w:r>
                </w:p>
              </w:tc>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验收项目</w:t>
                  </w:r>
                </w:p>
              </w:tc>
              <w:tc>
                <w:tcPr>
                  <w:tcW w:type="dxa" w:w="1120"/>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验收标准</w:t>
                  </w:r>
                </w:p>
              </w:tc>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验收结果</w:t>
                  </w:r>
                </w:p>
              </w:tc>
            </w:tr>
            <w:tr>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外墙清洗</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玻璃幕墙</w:t>
                  </w:r>
                </w:p>
              </w:tc>
              <w:tc>
                <w:tcPr>
                  <w:tcW w:type="dxa" w:w="11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无灰尘、污渍、划痕，透光清晰</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3"/>
                  <w:vMerge/>
                  <w:tcBorders>
                    <w:top w:val="none" w:color="000000" w:sz="4"/>
                    <w:left w:val="single" w:color="000000" w:sz="4"/>
                    <w:bottom w:val="single" w:color="000000" w:sz="4"/>
                    <w:right w:val="single" w:color="000000" w:sz="4"/>
                  </w:tcBorders>
                </w:tc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铝单板</w:t>
                  </w:r>
                </w:p>
              </w:tc>
              <w:tc>
                <w:tcPr>
                  <w:tcW w:type="dxa" w:w="11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表面洁净，无油污、变形、脱漆</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3"/>
                  <w:vMerge/>
                  <w:tcBorders>
                    <w:top w:val="none" w:color="000000" w:sz="4"/>
                    <w:left w:val="single" w:color="000000" w:sz="4"/>
                    <w:bottom w:val="single" w:color="000000" w:sz="4"/>
                    <w:right w:val="single" w:color="000000" w:sz="4"/>
                  </w:tcBorders>
                </w:tc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格栅</w:t>
                  </w:r>
                  <w:r>
                    <w:rPr>
                      <w:rFonts w:ascii="仿宋_GB2312" w:hAnsi="仿宋_GB2312" w:cs="仿宋_GB2312" w:eastAsia="仿宋_GB2312"/>
                      <w:sz w:val="18"/>
                    </w:rPr>
                    <w:t>/百叶</w:t>
                  </w:r>
                </w:p>
              </w:tc>
              <w:tc>
                <w:tcPr>
                  <w:tcW w:type="dxa" w:w="11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无杂物堵塞，无锈蚀、松动</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3"/>
                  <w:vMerge/>
                  <w:tcBorders>
                    <w:top w:val="none" w:color="000000" w:sz="4"/>
                    <w:left w:val="single" w:color="000000" w:sz="4"/>
                    <w:bottom w:val="single" w:color="000000" w:sz="4"/>
                    <w:right w:val="single" w:color="000000" w:sz="4"/>
                  </w:tcBorders>
                </w:tc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石材幕墙</w:t>
                  </w:r>
                  <w:r>
                    <w:rPr>
                      <w:rFonts w:ascii="仿宋_GB2312" w:hAnsi="仿宋_GB2312" w:cs="仿宋_GB2312" w:eastAsia="仿宋_GB2312"/>
                      <w:sz w:val="18"/>
                    </w:rPr>
                    <w:t>/圆柱</w:t>
                  </w:r>
                </w:p>
              </w:tc>
              <w:tc>
                <w:tcPr>
                  <w:tcW w:type="dxa" w:w="11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无污渍、划痕，无返碱、掉块</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室内开荒保洁</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墙面</w:t>
                  </w:r>
                </w:p>
              </w:tc>
              <w:tc>
                <w:tcPr>
                  <w:tcW w:type="dxa" w:w="11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无灰尘、胶迹、划痕，阴阳角洁净</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3"/>
                  <w:vMerge/>
                  <w:tcBorders>
                    <w:top w:val="none" w:color="000000" w:sz="4"/>
                    <w:left w:val="single" w:color="000000" w:sz="4"/>
                    <w:bottom w:val="single" w:color="000000" w:sz="4"/>
                    <w:right w:val="single" w:color="000000" w:sz="4"/>
                  </w:tcBorders>
                </w:tc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地面</w:t>
                  </w:r>
                </w:p>
              </w:tc>
              <w:tc>
                <w:tcPr>
                  <w:tcW w:type="dxa" w:w="11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无污渍、积水，缝隙无杂物</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3"/>
                  <w:vMerge/>
                  <w:tcBorders>
                    <w:top w:val="none" w:color="000000" w:sz="4"/>
                    <w:left w:val="single" w:color="000000" w:sz="4"/>
                    <w:bottom w:val="single" w:color="000000" w:sz="4"/>
                    <w:right w:val="single" w:color="000000" w:sz="4"/>
                  </w:tcBorders>
                </w:tc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室内玻璃</w:t>
                  </w:r>
                </w:p>
              </w:tc>
              <w:tc>
                <w:tcPr>
                  <w:tcW w:type="dxa" w:w="11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无指纹印、水渍，透光良好</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3"/>
                  <w:vMerge/>
                  <w:tcBorders>
                    <w:top w:val="none" w:color="000000" w:sz="4"/>
                    <w:left w:val="single" w:color="000000" w:sz="4"/>
                    <w:bottom w:val="single" w:color="000000" w:sz="4"/>
                    <w:right w:val="single" w:color="000000" w:sz="4"/>
                  </w:tcBorders>
                </w:tc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吊顶</w:t>
                  </w:r>
                </w:p>
              </w:tc>
              <w:tc>
                <w:tcPr>
                  <w:tcW w:type="dxa" w:w="11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无灰尘、蛛网，无变形、松动</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3"/>
                  <w:vMerge/>
                  <w:tcBorders>
                    <w:top w:val="none" w:color="000000" w:sz="4"/>
                    <w:left w:val="single" w:color="000000" w:sz="4"/>
                    <w:bottom w:val="single" w:color="000000" w:sz="4"/>
                    <w:right w:val="single" w:color="000000" w:sz="4"/>
                  </w:tcBorders>
                </w:tc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门窗</w:t>
                  </w:r>
                  <w:r>
                    <w:rPr>
                      <w:rFonts w:ascii="仿宋_GB2312" w:hAnsi="仿宋_GB2312" w:cs="仿宋_GB2312" w:eastAsia="仿宋_GB2312"/>
                      <w:sz w:val="18"/>
                    </w:rPr>
                    <w:t>/踢脚线</w:t>
                  </w:r>
                  <w:r>
                    <w:rPr>
                      <w:rFonts w:ascii="仿宋_GB2312" w:hAnsi="仿宋_GB2312" w:cs="仿宋_GB2312" w:eastAsia="仿宋_GB2312"/>
                      <w:sz w:val="18"/>
                    </w:rPr>
                    <w:t>等</w:t>
                  </w:r>
                </w:p>
              </w:tc>
              <w:tc>
                <w:tcPr>
                  <w:tcW w:type="dxa" w:w="11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表面洁净，开关灵活</w:t>
                  </w:r>
                  <w:r>
                    <w:rPr>
                      <w:rFonts w:ascii="仿宋_GB2312" w:hAnsi="仿宋_GB2312" w:cs="仿宋_GB2312" w:eastAsia="仿宋_GB2312"/>
                      <w:sz w:val="18"/>
                    </w:rPr>
                    <w:t>/安装牢固</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验收意见</w:t>
                  </w:r>
                </w:p>
              </w:tc>
              <w:tc>
                <w:tcPr>
                  <w:tcW w:type="dxa" w:w="216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施工单位签章</w:t>
                  </w:r>
                </w:p>
              </w:tc>
              <w:tc>
                <w:tcPr>
                  <w:tcW w:type="dxa" w:w="7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委托单位签章</w:t>
                  </w:r>
                </w:p>
              </w:tc>
              <w:tc>
                <w:tcPr>
                  <w:tcW w:type="dxa" w:w="95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根据需求合理配置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根据需求合理配置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华阴市人民医院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符合磋商文件中的验收标准要求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家供应商在领取成家通知书时提供一正两副纸质响应文件。纸质响应文件采用书籍（胶装）方式装订成册，与电子响应文件一致的签字、盖章的完整版本（正本为红章）。2、根据《关于推动解决政府采购异常低价问题的通知》（财库〔2026〕2号）强化政府采购异常低价审查:（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相关法律法规对供应商报价有规定的，从其规定。（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供应商需在项目电子化交易系统中按要求上传相应证明文件并进行电子签章，此项审查内容与“财务状况报告”为同一审查内容。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供应商需在项目电子化交易系统中按要求上传相应证明文件并进行电子签章，比项审查内容与“控股关系查询”为同一审查内容。</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税收缴纳证明：提供2025年3至今任意一个月的缴纳凭据；（增值税、企业所得税至少提供一种，依法免税的投标人应提供相关文件证明）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社会保障资金缴纳证明：提供2025年9月至今任意一个月的社保缴纳凭据或社保机构开具的社会保险参保缴纳情况证明；（依法不需要缴纳社会保障资金的投标人应提供相关证明）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同时提供被授权人2025年12月至今任意一个月在本单位的社保资金缴纳凭证）；法定代表人直接参加磋商提供法定代表人资格证明书（附法定代表人身份证复印件）；采购文件凡是法定代表人之处，非法人单位的负责人均参照执行； (式样见竞争性磋商响应文件格式)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响应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根据财库【2019】38号文规定，此项在磋商响应截止日当天在“国家企业信用信息公示系统”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除明确允许供应商可以自行编写的外，磋商响应文件是否按照磋商文件给定的格式和要求编制</w:t>
            </w:r>
          </w:p>
        </w:tc>
        <w:tc>
          <w:tcPr>
            <w:tcW w:type="dxa" w:w="1661"/>
          </w:tcPr>
          <w:p>
            <w:pPr>
              <w:pStyle w:val="null3"/>
            </w:pPr>
            <w:r>
              <w:rPr>
                <w:rFonts w:ascii="仿宋_GB2312" w:hAnsi="仿宋_GB2312" w:cs="仿宋_GB2312" w:eastAsia="仿宋_GB2312"/>
              </w:rPr>
              <w:t>响应文件封面 中小企业声明函 拒绝政府采购领域商业贿赂承诺书.docx 标的清单 商务条款响应偏离表.docx 响应函 法定代表人授权委托书.docx 服务条款响应偏离表.docx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响应文件封面 拒绝政府采购领域商业贿赂承诺书.docx 中小企业声明函 标的清单 商务条款响应偏离表.docx 分项报价.docx 法定代表人授权委托书.docx 响应函 服务条款响应偏离表.docx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供应商报价未超过采购预算</w:t>
            </w:r>
          </w:p>
        </w:tc>
        <w:tc>
          <w:tcPr>
            <w:tcW w:type="dxa" w:w="1661"/>
          </w:tcPr>
          <w:p>
            <w:pPr>
              <w:pStyle w:val="null3"/>
            </w:pPr>
            <w:r>
              <w:rPr>
                <w:rFonts w:ascii="仿宋_GB2312" w:hAnsi="仿宋_GB2312" w:cs="仿宋_GB2312" w:eastAsia="仿宋_GB2312"/>
              </w:rPr>
              <w:t>响应文件封面 标的清单 分项报价.docx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磋商有效期符合磋商文件的要求</w:t>
            </w:r>
          </w:p>
        </w:tc>
        <w:tc>
          <w:tcPr>
            <w:tcW w:type="dxa" w:w="1661"/>
          </w:tcPr>
          <w:p>
            <w:pPr>
              <w:pStyle w:val="null3"/>
            </w:pPr>
            <w:r>
              <w:rPr>
                <w:rFonts w:ascii="仿宋_GB2312" w:hAnsi="仿宋_GB2312" w:cs="仿宋_GB2312" w:eastAsia="仿宋_GB2312"/>
              </w:rPr>
              <w:t>响应文件封面 响应函 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是否对磋商文件技术、商务要求作出明确响应，对不得偏离的要求是否作出实质性响应</w:t>
            </w:r>
          </w:p>
        </w:tc>
        <w:tc>
          <w:tcPr>
            <w:tcW w:type="dxa" w:w="3322"/>
          </w:tcPr>
          <w:p>
            <w:pPr>
              <w:pStyle w:val="null3"/>
            </w:pPr>
            <w:r>
              <w:rPr>
                <w:rFonts w:ascii="仿宋_GB2312" w:hAnsi="仿宋_GB2312" w:cs="仿宋_GB2312" w:eastAsia="仿宋_GB2312"/>
              </w:rPr>
              <w:t>是否对磋商文件技术、商务要求作出明确响应，对不得偏离的要求是否作出实质性响应</w:t>
            </w:r>
          </w:p>
        </w:tc>
        <w:tc>
          <w:tcPr>
            <w:tcW w:type="dxa" w:w="1661"/>
          </w:tcPr>
          <w:p>
            <w:pPr>
              <w:pStyle w:val="null3"/>
            </w:pPr>
            <w:r>
              <w:rPr>
                <w:rFonts w:ascii="仿宋_GB2312" w:hAnsi="仿宋_GB2312" w:cs="仿宋_GB2312" w:eastAsia="仿宋_GB2312"/>
              </w:rPr>
              <w:t>响应文件封面 商务条款响应偏离表.docx 服务条款响应偏离表.docx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磋商响应文件无采购人不能接受的附加条件</w:t>
            </w:r>
          </w:p>
        </w:tc>
        <w:tc>
          <w:tcPr>
            <w:tcW w:type="dxa" w:w="3322"/>
          </w:tcPr>
          <w:p>
            <w:pPr>
              <w:pStyle w:val="null3"/>
            </w:pPr>
            <w:r>
              <w:rPr>
                <w:rFonts w:ascii="仿宋_GB2312" w:hAnsi="仿宋_GB2312" w:cs="仿宋_GB2312" w:eastAsia="仿宋_GB2312"/>
              </w:rPr>
              <w:t>磋商响应文件无采购人不能接受的附加条件</w:t>
            </w:r>
          </w:p>
        </w:tc>
        <w:tc>
          <w:tcPr>
            <w:tcW w:type="dxa" w:w="1661"/>
          </w:tcPr>
          <w:p>
            <w:pPr>
              <w:pStyle w:val="null3"/>
            </w:pPr>
            <w:r>
              <w:rPr>
                <w:rFonts w:ascii="仿宋_GB2312" w:hAnsi="仿宋_GB2312" w:cs="仿宋_GB2312" w:eastAsia="仿宋_GB2312"/>
              </w:rPr>
              <w:t>响应文件封面 供应商认为有必要说明的事宜.docx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无法律、法规和磋商文件规定的其他无效投标情形</w:t>
            </w:r>
          </w:p>
        </w:tc>
        <w:tc>
          <w:tcPr>
            <w:tcW w:type="dxa" w:w="3322"/>
          </w:tcPr>
          <w:p>
            <w:pPr>
              <w:pStyle w:val="null3"/>
            </w:pPr>
            <w:r>
              <w:rPr>
                <w:rFonts w:ascii="仿宋_GB2312" w:hAnsi="仿宋_GB2312" w:cs="仿宋_GB2312" w:eastAsia="仿宋_GB2312"/>
              </w:rPr>
              <w:t>无法律、法规和磋商文件规定的其他无效投标情形</w:t>
            </w:r>
          </w:p>
        </w:tc>
        <w:tc>
          <w:tcPr>
            <w:tcW w:type="dxa" w:w="1661"/>
          </w:tcPr>
          <w:p>
            <w:pPr>
              <w:pStyle w:val="null3"/>
            </w:pPr>
            <w:r>
              <w:rPr>
                <w:rFonts w:ascii="仿宋_GB2312" w:hAnsi="仿宋_GB2312" w:cs="仿宋_GB2312" w:eastAsia="仿宋_GB2312"/>
              </w:rPr>
              <w:t>响应文件封面 供应商认为有必要说明的事宜.docx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评审得分相同的，则依次比较报价得分，整体服务方案得分，安全保障得分，以得分高的排序在先。</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整体服务方案包括但不限于：服务的范围、目标及标准、整体实施流程、人员管理制度、室内室外的工作重难点等。 评审标准：内容全面详细、阐述条理清晰、逻辑清晰、具有针对性、合理可行得15分。每有一项缺项扣3分，每有一处内容存在缺陷扣1分，扣完为止，未提供相关内容本项不计分。 备注：缺陷是指内容不合理、与内容有较大偏差的、内容仅有粗略表述不具体、内容表述前后不一致、套用其他项目方案或与项目需求不匹配及其他不利于项目实施等任意一种情形。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整体服务方案.docx</w:t>
            </w:r>
          </w:p>
        </w:tc>
      </w:tr>
      <w:tr>
        <w:tc>
          <w:tcPr>
            <w:tcW w:type="dxa" w:w="831"/>
            <w:vMerge/>
          </w:tcPr>
          <w:p/>
        </w:tc>
        <w:tc>
          <w:tcPr>
            <w:tcW w:type="dxa" w:w="1661"/>
          </w:tcPr>
          <w:p>
            <w:pPr>
              <w:pStyle w:val="null3"/>
            </w:pPr>
            <w:r>
              <w:rPr>
                <w:rFonts w:ascii="仿宋_GB2312" w:hAnsi="仿宋_GB2312" w:cs="仿宋_GB2312" w:eastAsia="仿宋_GB2312"/>
              </w:rPr>
              <w:t>安全保障</w:t>
            </w:r>
          </w:p>
        </w:tc>
        <w:tc>
          <w:tcPr>
            <w:tcW w:type="dxa" w:w="2492"/>
          </w:tcPr>
          <w:p>
            <w:pPr>
              <w:pStyle w:val="null3"/>
            </w:pPr>
            <w:r>
              <w:rPr>
                <w:rFonts w:ascii="仿宋_GB2312" w:hAnsi="仿宋_GB2312" w:cs="仿宋_GB2312" w:eastAsia="仿宋_GB2312"/>
              </w:rPr>
              <w:t>安全保障包括但不限于：高空作业安全保障措施；确保清洁剂、消毒剂等产品的规范使用；个人防护装备穿戴；废弃物处理；用电安全；应急处置措施等。 评审标准：内容全面详细、阐述条理清晰、逻辑清晰、具有针对性、合理可行得18分。每有一项缺项扣3分，每有一处内容存在缺陷扣1分，扣完为止，未提供相关内容本项不计分。 备注：缺陷是指内容不合理、与内容有较大偏差的、内容仅有粗略表述不具体、内容表述前后不一致、套用其他项目方案或与项目需求不匹配及其他不利于项目实施等任意一种情形。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安全保障.docx</w:t>
            </w:r>
          </w:p>
        </w:tc>
      </w:tr>
      <w:tr>
        <w:tc>
          <w:tcPr>
            <w:tcW w:type="dxa" w:w="831"/>
            <w:vMerge/>
          </w:tcPr>
          <w:p/>
        </w:tc>
        <w:tc>
          <w:tcPr>
            <w:tcW w:type="dxa" w:w="1661"/>
          </w:tcPr>
          <w:p>
            <w:pPr>
              <w:pStyle w:val="null3"/>
            </w:pPr>
            <w:r>
              <w:rPr>
                <w:rFonts w:ascii="仿宋_GB2312" w:hAnsi="仿宋_GB2312" w:cs="仿宋_GB2312" w:eastAsia="仿宋_GB2312"/>
              </w:rPr>
              <w:t>文明施工组织措施</w:t>
            </w:r>
          </w:p>
        </w:tc>
        <w:tc>
          <w:tcPr>
            <w:tcW w:type="dxa" w:w="2492"/>
          </w:tcPr>
          <w:p>
            <w:pPr>
              <w:pStyle w:val="null3"/>
            </w:pPr>
            <w:r>
              <w:rPr>
                <w:rFonts w:ascii="仿宋_GB2312" w:hAnsi="仿宋_GB2312" w:cs="仿宋_GB2312" w:eastAsia="仿宋_GB2312"/>
              </w:rPr>
              <w:t>包括但不限于：安全文明施工目标及施工现场的临时管理措施、文明施工保障措施、环境保护管理体系、安全警示标识、防尘及扬尘的控制措施。 评审标准：内容全面详细、阐述条理清晰、逻辑清晰、具有针对性、合理可行得15分。每有一项缺项扣3分，每有一处内容存在缺陷扣1分，扣完为止，未提供相关内容本项不计分。 备注：缺陷是指内容不合理、与内容有较大偏差的、内容仅有粗略表述不具体、内容表述前后不一致、套用其他项目方案或与项目需求不匹配及其他不利于项目实施等任意一种情形。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文明施工组织措施.docx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包括但不限于：详细的进度计划、进度保证的措施、人员保障措施等。 评审标准：内容全面详细、阐述条理清晰、逻辑清晰、具有针对性、合理可行得9分。每有一项缺项扣3分，每有一处内容存在缺陷扣1分，扣完为止，未提供相关内容本项不计分。 备注：缺陷是指内容不合理、与内容有较大偏差的、内容仅有粗略表述不具体、内容表述前后不一致、套用其他项目方案或与项目需求不匹配及其他不利于项目实施等任意一种情形。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进度保证措施.docx</w:t>
            </w:r>
          </w:p>
        </w:tc>
      </w:tr>
      <w:tr>
        <w:tc>
          <w:tcPr>
            <w:tcW w:type="dxa" w:w="831"/>
            <w:vMerge/>
          </w:tcPr>
          <w:p/>
        </w:tc>
        <w:tc>
          <w:tcPr>
            <w:tcW w:type="dxa" w:w="1661"/>
          </w:tcPr>
          <w:p>
            <w:pPr>
              <w:pStyle w:val="null3"/>
            </w:pPr>
            <w:r>
              <w:rPr>
                <w:rFonts w:ascii="仿宋_GB2312" w:hAnsi="仿宋_GB2312" w:cs="仿宋_GB2312" w:eastAsia="仿宋_GB2312"/>
              </w:rPr>
              <w:t>高空作业证书</w:t>
            </w:r>
          </w:p>
        </w:tc>
        <w:tc>
          <w:tcPr>
            <w:tcW w:type="dxa" w:w="2492"/>
          </w:tcPr>
          <w:p>
            <w:pPr>
              <w:pStyle w:val="null3"/>
            </w:pPr>
            <w:r>
              <w:rPr>
                <w:rFonts w:ascii="仿宋_GB2312" w:hAnsi="仿宋_GB2312" w:cs="仿宋_GB2312" w:eastAsia="仿宋_GB2312"/>
              </w:rPr>
              <w:t>高空作业人员≤8人的不计分，8人基础上每增加1人计0.5分，满分3分；须提供应急管理部门颁发的有效期限内的高空作业证，并提供在项目服务期间为高空作业人员缴纳相关保险的承诺函，未提供高空作业证及承诺函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高空作业证书.docx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以完整的合同形式提供供应商2022年1月1日至今类似项目业绩，每份计1分，计满6分为止；合同不完整的不计分。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设备及人员要求</w:t>
            </w:r>
          </w:p>
        </w:tc>
        <w:tc>
          <w:tcPr>
            <w:tcW w:type="dxa" w:w="2492"/>
          </w:tcPr>
          <w:p>
            <w:pPr>
              <w:pStyle w:val="null3"/>
            </w:pPr>
            <w:r>
              <w:rPr>
                <w:rFonts w:ascii="仿宋_GB2312" w:hAnsi="仿宋_GB2312" w:cs="仿宋_GB2312" w:eastAsia="仿宋_GB2312"/>
              </w:rPr>
              <w:t>包含但不限于：人员组成数量；工作经验；设备及设施清单；岗前培训；操作流程熟悉等。 评审标准：内容全面详细、阐述条理清晰、逻辑清晰、具有针对性、合理可行得15分。每有一项缺项扣3分，每有一处内容存在缺陷扣1分，扣完为止，未提供相关内容本项不计分。 备注：缺陷是指内容不合理、与内容有较大偏差的、内容仅有粗略表述不具体、内容表述前后不一致、套用其他项目方案或与项目需求不匹配及其他不利于项目实施等任意一种情形。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设备及人员要求.docx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包括但不限于：针对保洁服务过程中所产生的垃圾能够承诺按相关要求及时分类及处理；根据其对服务期限、服务期内的质量、人员到位情况、不能完全履行服务承诺时接受处罚等情况做出实质性承诺；服务完成后，主动收集客户反馈，了解客户对服务质量、人员服务的满意度，针对客户提出的意见和建议，及时改进服务流程和服务质量等； 评审标准：内容全面详细、阐述条理清晰、逻辑清晰、具有针对性、合理可行得9分。每有一项缺项扣3分，每有一处内容存在缺陷扣1分，扣完为止，未提供相关内容本项不计分。 备注：缺陷是指内容不合理、与内容有较大偏差的、内容仅有粗略表述不具体、内容表述前后不一致、套用其他项目方案或与项目需求不匹配及其他不利于项目实施等任意一种情形。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详见附件：安全保障.docx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详见附件：服务条款响应偏离表.docx</w:t>
      </w:r>
    </w:p>
    <w:p>
      <w:pPr>
        <w:pStyle w:val="null3"/>
        <w:ind w:firstLine="960"/>
      </w:pPr>
      <w:r>
        <w:rPr>
          <w:rFonts w:ascii="仿宋_GB2312" w:hAnsi="仿宋_GB2312" w:cs="仿宋_GB2312" w:eastAsia="仿宋_GB2312"/>
        </w:rPr>
        <w:t>详见附件：高空作业证书.docx</w:t>
      </w:r>
    </w:p>
    <w:p>
      <w:pPr>
        <w:pStyle w:val="null3"/>
        <w:ind w:firstLine="960"/>
      </w:pPr>
      <w:r>
        <w:rPr>
          <w:rFonts w:ascii="仿宋_GB2312" w:hAnsi="仿宋_GB2312" w:cs="仿宋_GB2312" w:eastAsia="仿宋_GB2312"/>
        </w:rPr>
        <w:t>详见附件：供应商认为有必要说明的事宜.docx</w:t>
      </w:r>
    </w:p>
    <w:p>
      <w:pPr>
        <w:pStyle w:val="null3"/>
        <w:ind w:firstLine="960"/>
      </w:pPr>
      <w:r>
        <w:rPr>
          <w:rFonts w:ascii="仿宋_GB2312" w:hAnsi="仿宋_GB2312" w:cs="仿宋_GB2312" w:eastAsia="仿宋_GB2312"/>
        </w:rPr>
        <w:t>详见附件：进度保证措施.docx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详见附件：设备及人员要求.docx</w:t>
      </w:r>
    </w:p>
    <w:p>
      <w:pPr>
        <w:pStyle w:val="null3"/>
        <w:ind w:firstLine="960"/>
      </w:pPr>
      <w:r>
        <w:rPr>
          <w:rFonts w:ascii="仿宋_GB2312" w:hAnsi="仿宋_GB2312" w:cs="仿宋_GB2312" w:eastAsia="仿宋_GB2312"/>
        </w:rPr>
        <w:t>详见附件：文明施工组织措施.docx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详见附件：整体服务方案.docx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