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版本号：SXDY-2026-063.1B120260330001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华阴市2025年中央财政林业草原改革发展资金林业有害生物防治项目(二次)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SXDY-2026-063.1B1</w:t>
      </w:r>
      <w:r>
        <w:br/>
      </w:r>
      <w:r>
        <w:br/>
      </w:r>
      <w:r>
        <w:br/>
      </w:r>
    </w:p>
    <w:p>
      <w:pPr>
        <w:pStyle w:val="null3"/>
        <w:jc w:val="center"/>
        <w:outlineLvl w:val="2"/>
      </w:pPr>
      <w:r>
        <w:rPr>
          <w:rFonts w:ascii="仿宋_GB2312" w:hAnsi="仿宋_GB2312" w:cs="仿宋_GB2312" w:eastAsia="仿宋_GB2312"/>
          <w:sz w:val="28"/>
          <w:b/>
        </w:rPr>
        <w:t>华阴市林业局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华阴市林业局</w:t>
      </w:r>
      <w:r>
        <w:rPr>
          <w:rFonts w:ascii="仿宋_GB2312" w:hAnsi="仿宋_GB2312" w:cs="仿宋_GB2312" w:eastAsia="仿宋_GB2312"/>
        </w:rPr>
        <w:t>委托，拟对</w:t>
      </w:r>
      <w:r>
        <w:rPr>
          <w:rFonts w:ascii="仿宋_GB2312" w:hAnsi="仿宋_GB2312" w:cs="仿宋_GB2312" w:eastAsia="仿宋_GB2312"/>
        </w:rPr>
        <w:t>华阴市2025年中央财政林业草原改革发展资金林业有害生物防治项目(二次)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SXDY-2026-063.1B1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华阴市2025年中央财政林业草原改革发展资金林业有害生物防治项目(二次)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华阴市罗敷镇塬头村、川街村瓮金村、金岩村以及华阳川林场沿242国道两侧防控松材线虫病12500亩;悬挂松褐天牛诱捕器15套;在华阴市五馆一中心、城市森林、高速路东西出口农田林网(长涧河-大华路)、渭河河堤北林带(沿黄路-华州交界)、高速路两侧(华山段、罗敷段)采购、安装白杨透翅蛾诱捕器31套:巡查、监测杨树溃疡病、白杨透翅蛾3000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采购包1（华阴市2025年中央财政林业草原改革发展资金林业有害生物防治项目）：属于专门面向中小企业采购。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9、资质要求：供应商具有林业有害生物防治作业乙级以上（含乙级）资质证书。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陕西省渭南市华阴市450东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赵斌龙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13892381286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武紫艺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17609244531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采购包1：507,377.50元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代理服务费收费标准：参照国家计委关于《招标代理服务收费管理暂行办法》（计价格[2002]1980号）及国家发展改革委《关于进一步放开建设项目专业服务价格的通知》（发改价格[2015]299号）文件计取。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华阴市林业局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联系人：武紫艺</w:t>
      </w:r>
    </w:p>
    <w:p>
      <w:pPr>
        <w:pStyle w:val="null3"/>
      </w:pPr>
      <w:r>
        <w:rPr>
          <w:rFonts w:ascii="仿宋_GB2312" w:hAnsi="仿宋_GB2312" w:cs="仿宋_GB2312" w:eastAsia="仿宋_GB2312"/>
        </w:rPr>
        <w:t>联系电话：17609244531</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华阴市罗敷镇塬头村、川街村瓮金村、金岩村以及华阳川林场沿242国道两侧防控松材线虫病12500亩;悬挂松褐天牛诱捕器15套;在华阴市五馆一中心、城市森林、高速路东西出口农田林网(长涧河-大华路)、渭河河堤北林带(沿黄路-华州交界)、高速路两侧(华山段、罗敷段)采购、安装白杨透翅蛾诱捕器31套:巡查、监测杨树溃疡病、白杨透翅蛾3000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507,377.50</w:t>
      </w:r>
    </w:p>
    <w:p>
      <w:pPr>
        <w:pStyle w:val="null3"/>
      </w:pPr>
      <w:r>
        <w:rPr>
          <w:rFonts w:ascii="仿宋_GB2312" w:hAnsi="仿宋_GB2312" w:cs="仿宋_GB2312" w:eastAsia="仿宋_GB2312"/>
        </w:rPr>
        <w:t>采购包最高限价（元）: 507,377.50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华阴市2025年中央财政林业草原改革发展资金林业有害生物防治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507,377.50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标的名称：华阴市2025年中央财政林业草原改革发展资金林业有害生物防治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w:t>
            </w:r>
            <w:r>
              <w:rPr>
                <w:rFonts w:ascii="仿宋_GB2312" w:hAnsi="仿宋_GB2312" w:cs="仿宋_GB2312" w:eastAsia="仿宋_GB2312"/>
                <w:sz w:val="28"/>
                <w:b/>
              </w:rPr>
              <w:t>名称</w:t>
            </w:r>
            <w:r>
              <w:rPr>
                <w:rFonts w:ascii="仿宋_GB2312" w:hAnsi="仿宋_GB2312" w:cs="仿宋_GB2312" w:eastAsia="仿宋_GB2312"/>
                <w:sz w:val="28"/>
                <w:b/>
              </w:rPr>
              <w:t>：</w:t>
            </w:r>
            <w:r>
              <w:rPr>
                <w:rFonts w:ascii="仿宋_GB2312" w:hAnsi="仿宋_GB2312" w:cs="仿宋_GB2312" w:eastAsia="仿宋_GB2312"/>
                <w:sz w:val="28"/>
                <w:b/>
              </w:rPr>
              <w:t>华阴市</w:t>
            </w:r>
            <w:r>
              <w:rPr>
                <w:rFonts w:ascii="仿宋_GB2312" w:hAnsi="仿宋_GB2312" w:cs="仿宋_GB2312" w:eastAsia="仿宋_GB2312"/>
                <w:sz w:val="28"/>
                <w:b/>
              </w:rPr>
              <w:t>2025年中央财政林业草原改革发展资金林业有害生物防治项目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实施地点、主要建设内容及规模</w:t>
            </w:r>
            <w:r>
              <w:rPr>
                <w:rFonts w:ascii="仿宋_GB2312" w:hAnsi="仿宋_GB2312" w:cs="仿宋_GB2312" w:eastAsia="仿宋_GB2312"/>
                <w:sz w:val="28"/>
                <w:b/>
              </w:rPr>
              <w:t>：</w:t>
            </w:r>
            <w:r>
              <w:rPr>
                <w:rFonts w:ascii="仿宋_GB2312" w:hAnsi="仿宋_GB2312" w:cs="仿宋_GB2312" w:eastAsia="仿宋_GB2312"/>
                <w:sz w:val="28"/>
              </w:rPr>
              <w:t>①</w:t>
            </w:r>
            <w:r>
              <w:rPr>
                <w:rFonts w:ascii="仿宋_GB2312" w:hAnsi="仿宋_GB2312" w:cs="仿宋_GB2312" w:eastAsia="仿宋_GB2312"/>
                <w:sz w:val="28"/>
              </w:rPr>
              <w:t>在华阴市罗敷镇塬头村、川街村瓮金村、金岩村以及华阳川林场沿</w:t>
            </w:r>
            <w:r>
              <w:rPr>
                <w:rFonts w:ascii="仿宋_GB2312" w:hAnsi="仿宋_GB2312" w:cs="仿宋_GB2312" w:eastAsia="仿宋_GB2312"/>
                <w:sz w:val="28"/>
              </w:rPr>
              <w:t>242国道两侧防控松材线虫病12500亩;悬挂松褐天牛诱捕器15套;</w:t>
            </w:r>
            <w:r>
              <w:rPr>
                <w:rFonts w:ascii="仿宋_GB2312" w:hAnsi="仿宋_GB2312" w:cs="仿宋_GB2312" w:eastAsia="仿宋_GB2312"/>
                <w:sz w:val="28"/>
              </w:rPr>
              <w:t>②</w:t>
            </w:r>
            <w:r>
              <w:rPr>
                <w:rFonts w:ascii="仿宋_GB2312" w:hAnsi="仿宋_GB2312" w:cs="仿宋_GB2312" w:eastAsia="仿宋_GB2312"/>
                <w:sz w:val="28"/>
              </w:rPr>
              <w:t>在华阴市五馆一中心、城市森林、高速路东西出口农田林网</w:t>
            </w:r>
            <w:r>
              <w:rPr>
                <w:rFonts w:ascii="仿宋_GB2312" w:hAnsi="仿宋_GB2312" w:cs="仿宋_GB2312" w:eastAsia="仿宋_GB2312"/>
                <w:sz w:val="28"/>
              </w:rPr>
              <w:t>(长涧河-大华路)、渭河河堤北林带(沿黄路-华州交界)、高速路两侧(华山段、罗敷段)采购、安装白杨透翅蛾诱捕器31套:巡查、监测杨树溃疡病、白杨透翅蛾3000亩。</w:t>
            </w:r>
          </w:p>
          <w:p>
            <w:pPr>
              <w:pStyle w:val="null3"/>
              <w:jc w:val="both"/>
            </w:pPr>
            <w:r>
              <w:rPr>
                <w:rFonts w:ascii="仿宋_GB2312" w:hAnsi="仿宋_GB2312" w:cs="仿宋_GB2312" w:eastAsia="仿宋_GB2312"/>
                <w:sz w:val="28"/>
                <w:b/>
              </w:rPr>
              <w:t>（一）无人机防治</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1）药品选择及用量</w:t>
            </w:r>
          </w:p>
          <w:p>
            <w:pPr>
              <w:pStyle w:val="null3"/>
              <w:jc w:val="both"/>
            </w:pPr>
            <w:r>
              <w:rPr>
                <w:rFonts w:ascii="仿宋_GB2312" w:hAnsi="仿宋_GB2312" w:cs="仿宋_GB2312" w:eastAsia="仿宋_GB2312"/>
                <w:sz w:val="28"/>
              </w:rPr>
              <w:t>①</w:t>
            </w:r>
            <w:r>
              <w:rPr>
                <w:rFonts w:ascii="仿宋_GB2312" w:hAnsi="仿宋_GB2312" w:cs="仿宋_GB2312" w:eastAsia="仿宋_GB2312"/>
                <w:sz w:val="28"/>
                <w:b/>
              </w:rPr>
              <w:t>药品选择：</w:t>
            </w:r>
            <w:r>
              <w:rPr>
                <w:rFonts w:ascii="仿宋_GB2312" w:hAnsi="仿宋_GB2312" w:cs="仿宋_GB2312" w:eastAsia="仿宋_GB2312"/>
                <w:sz w:val="28"/>
              </w:rPr>
              <w:t>药品必须为国家正式批准的生产厂家，附有生产合格证，药品有效期限或生产厂家证明及农药三证。</w:t>
            </w:r>
            <w:r>
              <w:rPr>
                <w:rFonts w:ascii="仿宋_GB2312" w:hAnsi="仿宋_GB2312" w:cs="仿宋_GB2312" w:eastAsia="仿宋_GB2312"/>
                <w:sz w:val="28"/>
              </w:rPr>
              <w:t>3%噻虫啉微囊悬浮剂、200亿孢子/克球孢白僵菌可分散油悬浮剂、沉降剂（青皮桔油）</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②</w:t>
            </w:r>
            <w:r>
              <w:rPr>
                <w:rFonts w:ascii="仿宋_GB2312" w:hAnsi="仿宋_GB2312" w:cs="仿宋_GB2312" w:eastAsia="仿宋_GB2312"/>
                <w:sz w:val="28"/>
                <w:b/>
              </w:rPr>
              <w:t>每亩用量：</w:t>
            </w:r>
            <w:r>
              <w:rPr>
                <w:rFonts w:ascii="仿宋_GB2312" w:hAnsi="仿宋_GB2312" w:cs="仿宋_GB2312" w:eastAsia="仿宋_GB2312"/>
                <w:sz w:val="28"/>
              </w:rPr>
              <w:t>每亩喷洒用药量</w:t>
            </w:r>
            <w:r>
              <w:rPr>
                <w:rFonts w:ascii="仿宋_GB2312" w:hAnsi="仿宋_GB2312" w:cs="仿宋_GB2312" w:eastAsia="仿宋_GB2312"/>
                <w:sz w:val="28"/>
              </w:rPr>
              <w:t>3%噻虫啉微囊悬浮剂90克、200亿孢子/克球孢白僵菌可分散油悬浮剂40克、飞防专用沉降剂（青皮桔油）10克，兑水成5升混合液。</w:t>
            </w:r>
          </w:p>
          <w:p>
            <w:pPr>
              <w:pStyle w:val="null3"/>
              <w:jc w:val="both"/>
            </w:pPr>
            <w:r>
              <w:rPr>
                <w:rFonts w:ascii="仿宋_GB2312" w:hAnsi="仿宋_GB2312" w:cs="仿宋_GB2312" w:eastAsia="仿宋_GB2312"/>
                <w:sz w:val="28"/>
                <w:b/>
              </w:rPr>
              <w:t>③</w:t>
            </w:r>
            <w:r>
              <w:rPr>
                <w:rFonts w:ascii="仿宋_GB2312" w:hAnsi="仿宋_GB2312" w:cs="仿宋_GB2312" w:eastAsia="仿宋_GB2312"/>
                <w:sz w:val="28"/>
                <w:b/>
              </w:rPr>
              <w:t>药品需用量：</w:t>
            </w:r>
            <w:r>
              <w:rPr>
                <w:rFonts w:ascii="仿宋_GB2312" w:hAnsi="仿宋_GB2312" w:cs="仿宋_GB2312" w:eastAsia="仿宋_GB2312"/>
                <w:sz w:val="28"/>
              </w:rPr>
              <w:t>本次飞防</w:t>
            </w:r>
            <w:r>
              <w:rPr>
                <w:rFonts w:ascii="仿宋_GB2312" w:hAnsi="仿宋_GB2312" w:cs="仿宋_GB2312" w:eastAsia="仿宋_GB2312"/>
                <w:sz w:val="28"/>
              </w:rPr>
              <w:t>12500亩，共需3%噻虫啉微囊悬浮剂1125公斤，200亿孢子/克球孢白僵菌可分散油悬浮剂500公斤，沉降剂（青皮桔油）125公斤。</w:t>
            </w:r>
          </w:p>
          <w:p>
            <w:pPr>
              <w:pStyle w:val="null3"/>
              <w:jc w:val="both"/>
            </w:pPr>
            <w:r>
              <w:rPr>
                <w:rFonts w:ascii="仿宋_GB2312" w:hAnsi="仿宋_GB2312" w:cs="仿宋_GB2312" w:eastAsia="仿宋_GB2312"/>
                <w:sz w:val="28"/>
                <w:b/>
              </w:rPr>
              <w:t>④防治技术标准</w:t>
            </w:r>
            <w:r>
              <w:rPr>
                <w:rFonts w:ascii="仿宋_GB2312" w:hAnsi="仿宋_GB2312" w:cs="仿宋_GB2312" w:eastAsia="仿宋_GB2312"/>
                <w:sz w:val="28"/>
              </w:rPr>
              <w:t>：防治区高差较大、地形复杂，原则采用自由式飞行，不漏喷、不重复喷洒。无人机作业时，飞行高度一般要求保持在离树梢</w:t>
            </w:r>
            <w:r>
              <w:rPr>
                <w:rFonts w:ascii="仿宋_GB2312" w:hAnsi="仿宋_GB2312" w:cs="仿宋_GB2312" w:eastAsia="仿宋_GB2312"/>
                <w:sz w:val="28"/>
              </w:rPr>
              <w:t>10米左右,作业航速为6米/秒，喷洒幅度为10米，飞机喷洒药物的雾滴密度必须达到每平方厘米15滴以上。</w:t>
            </w:r>
          </w:p>
          <w:p>
            <w:pPr>
              <w:pStyle w:val="null3"/>
              <w:jc w:val="both"/>
            </w:pPr>
            <w:r>
              <w:rPr>
                <w:rFonts w:ascii="仿宋_GB2312" w:hAnsi="仿宋_GB2312" w:cs="仿宋_GB2312" w:eastAsia="仿宋_GB2312"/>
                <w:sz w:val="28"/>
                <w:b/>
              </w:rPr>
              <w:t>⑤飞行作业质量检查及评价：飞行</w:t>
            </w:r>
            <w:r>
              <w:rPr>
                <w:rFonts w:ascii="仿宋_GB2312" w:hAnsi="仿宋_GB2312" w:cs="仿宋_GB2312" w:eastAsia="仿宋_GB2312"/>
                <w:sz w:val="28"/>
              </w:rPr>
              <w:t>作业质量检查，采用喷洒量、有效喷幅宽度、雾滴覆盖密度以及飞行作业航迹相结合的方法进行。</w:t>
            </w:r>
          </w:p>
          <w:p>
            <w:pPr>
              <w:pStyle w:val="null3"/>
              <w:jc w:val="both"/>
            </w:pPr>
            <w:r>
              <w:rPr>
                <w:rFonts w:ascii="仿宋_GB2312" w:hAnsi="仿宋_GB2312" w:cs="仿宋_GB2312" w:eastAsia="仿宋_GB2312"/>
                <w:sz w:val="28"/>
                <w:b/>
              </w:rPr>
              <w:t>⑥飞防质量评估：</w:t>
            </w:r>
            <w:r>
              <w:rPr>
                <w:rFonts w:ascii="仿宋_GB2312" w:hAnsi="仿宋_GB2312" w:cs="仿宋_GB2312" w:eastAsia="仿宋_GB2312"/>
                <w:sz w:val="28"/>
              </w:rPr>
              <w:t>为确保飞防成效，切实做好飞防质量评估和跟踪调查，飞防作业喷药过程中，由技术人员进行实地接药，在喷播带与航向垂直方向每隔</w:t>
            </w:r>
            <w:r>
              <w:rPr>
                <w:rFonts w:ascii="仿宋_GB2312" w:hAnsi="仿宋_GB2312" w:cs="仿宋_GB2312" w:eastAsia="仿宋_GB2312"/>
                <w:sz w:val="28"/>
              </w:rPr>
              <w:t>5米的林间空地上，按顺序放载玻片或荧光纸作为采样片，每一喷洒带飞行作业结束50分钟后收集采样片，飞机喷洒药物的雾滴密度必须达到每平方厘米15滴以上。</w:t>
            </w:r>
          </w:p>
          <w:p>
            <w:pPr>
              <w:pStyle w:val="null3"/>
              <w:numPr>
                <w:ilvl w:val="0"/>
                <w:numId w:val="1"/>
              </w:numPr>
              <w:jc w:val="both"/>
            </w:pPr>
            <w:r>
              <w:rPr>
                <w:rFonts w:ascii="仿宋_GB2312" w:hAnsi="仿宋_GB2312" w:cs="仿宋_GB2312" w:eastAsia="仿宋_GB2312"/>
                <w:sz w:val="28"/>
                <w:b/>
              </w:rPr>
              <w:t>悬挂松褐天牛诱捕器（</w:t>
            </w:r>
            <w:r>
              <w:rPr>
                <w:rFonts w:ascii="仿宋_GB2312" w:hAnsi="仿宋_GB2312" w:cs="仿宋_GB2312" w:eastAsia="仿宋_GB2312"/>
                <w:sz w:val="28"/>
                <w:b/>
              </w:rPr>
              <w:t>15套）</w:t>
            </w:r>
          </w:p>
          <w:p>
            <w:pPr>
              <w:pStyle w:val="null3"/>
              <w:jc w:val="both"/>
            </w:pP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1</w:t>
            </w:r>
            <w:r>
              <w:rPr>
                <w:rFonts w:ascii="仿宋_GB2312" w:hAnsi="仿宋_GB2312" w:cs="仿宋_GB2312" w:eastAsia="仿宋_GB2312"/>
                <w:sz w:val="32"/>
                <w:color w:val="333333"/>
                <w:shd w:fill="FFFFFF" w:val="clear"/>
              </w:rPr>
              <w:t>）</w:t>
            </w:r>
            <w:r>
              <w:rPr>
                <w:rFonts w:ascii="仿宋_GB2312" w:hAnsi="仿宋_GB2312" w:cs="仿宋_GB2312" w:eastAsia="仿宋_GB2312"/>
                <w:sz w:val="28"/>
                <w:b/>
              </w:rPr>
              <w:t>悬挂松褐天牛诱捕器参数</w:t>
            </w:r>
          </w:p>
          <w:p>
            <w:pPr>
              <w:pStyle w:val="null3"/>
              <w:jc w:val="both"/>
            </w:pPr>
            <w:r>
              <w:rPr>
                <w:rFonts w:ascii="仿宋_GB2312" w:hAnsi="仿宋_GB2312" w:cs="仿宋_GB2312" w:eastAsia="仿宋_GB2312"/>
                <w:sz w:val="28"/>
              </w:rPr>
              <w:t>诱捕器为黑色十字交叉型诱捕器</w:t>
            </w:r>
            <w:r>
              <w:rPr>
                <w:rFonts w:ascii="仿宋_GB2312" w:hAnsi="仿宋_GB2312" w:cs="仿宋_GB2312" w:eastAsia="仿宋_GB2312"/>
                <w:sz w:val="28"/>
              </w:rPr>
              <w:t>;十字挡板表面和漏斗内侧有防辐射增效涂层;诱芯含有昆虫性信息素成分，释放袋透明，大小8cm*10cm;引诱剂诱芯含有寄主植物源信息素成分，棕色储存瓶与组合中转盖式缓释瓶。引诱剂诱芯保质期1年以上，单个引诱剂高效持效期≥60天，有效期≥90天，靶标敏感距离≥150m。</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2）悬挂技术要点：</w:t>
            </w:r>
          </w:p>
          <w:p>
            <w:pPr>
              <w:pStyle w:val="null3"/>
              <w:jc w:val="both"/>
            </w:pPr>
            <w:r>
              <w:rPr>
                <w:rFonts w:ascii="仿宋_GB2312" w:hAnsi="仿宋_GB2312" w:cs="仿宋_GB2312" w:eastAsia="仿宋_GB2312"/>
                <w:sz w:val="28"/>
              </w:rPr>
              <w:t>悬挂地点及数量：在华阳区域门涧、柳沟、老女沟林道两旁空气较流通处，悬挂诱捕器</w:t>
            </w:r>
            <w:r>
              <w:rPr>
                <w:rFonts w:ascii="仿宋_GB2312" w:hAnsi="仿宋_GB2312" w:cs="仿宋_GB2312" w:eastAsia="仿宋_GB2312"/>
                <w:sz w:val="28"/>
              </w:rPr>
              <w:t>15套。</w:t>
            </w:r>
          </w:p>
          <w:p>
            <w:pPr>
              <w:pStyle w:val="null3"/>
              <w:jc w:val="both"/>
            </w:pPr>
            <w:r>
              <w:rPr>
                <w:rFonts w:ascii="仿宋_GB2312" w:hAnsi="仿宋_GB2312" w:cs="仿宋_GB2312" w:eastAsia="仿宋_GB2312"/>
                <w:sz w:val="28"/>
              </w:rPr>
              <w:t>悬挂时间和方法：松褐天牛成虫羽化初期开始，直到羽化结束。将诱捕器悬挂于两松树之间小木棍上（小木棍两端分别固定在二株松树上），诱捕器挂在木棍中间绑牢，诱捕器下端离地面</w:t>
            </w:r>
            <w:r>
              <w:rPr>
                <w:rFonts w:ascii="仿宋_GB2312" w:hAnsi="仿宋_GB2312" w:cs="仿宋_GB2312" w:eastAsia="仿宋_GB2312"/>
                <w:sz w:val="28"/>
              </w:rPr>
              <w:t>1.3米左右。</w:t>
            </w:r>
          </w:p>
          <w:p>
            <w:pPr>
              <w:pStyle w:val="null3"/>
              <w:jc w:val="both"/>
            </w:pPr>
            <w:r>
              <w:rPr>
                <w:rFonts w:ascii="仿宋_GB2312" w:hAnsi="仿宋_GB2312" w:cs="仿宋_GB2312" w:eastAsia="仿宋_GB2312"/>
                <w:sz w:val="28"/>
              </w:rPr>
              <w:t>引诱剂使用方法</w:t>
            </w:r>
            <w:r>
              <w:rPr>
                <w:rFonts w:ascii="仿宋_GB2312" w:hAnsi="仿宋_GB2312" w:cs="仿宋_GB2312" w:eastAsia="仿宋_GB2312"/>
                <w:sz w:val="28"/>
              </w:rPr>
              <w:t>:打开引诱剂瓶盖，撕开密封纸，使气体缓慢释放，待瓶中液体挥发完后重新调换一瓶。估计每瓶（300克）使用时间15天左右。</w:t>
            </w:r>
          </w:p>
          <w:p>
            <w:pPr>
              <w:pStyle w:val="null3"/>
              <w:jc w:val="both"/>
            </w:pPr>
            <w:r>
              <w:rPr>
                <w:rFonts w:ascii="仿宋_GB2312" w:hAnsi="仿宋_GB2312" w:cs="仿宋_GB2312" w:eastAsia="仿宋_GB2312"/>
                <w:sz w:val="28"/>
              </w:rPr>
              <w:t>收集与质量检查</w:t>
            </w:r>
            <w:r>
              <w:rPr>
                <w:rFonts w:ascii="仿宋_GB2312" w:hAnsi="仿宋_GB2312" w:cs="仿宋_GB2312" w:eastAsia="仿宋_GB2312"/>
                <w:sz w:val="28"/>
              </w:rPr>
              <w:t>:每隔15天检查一次，查看并统计诱捕器中的松褐天牛数量。</w:t>
            </w:r>
          </w:p>
          <w:p>
            <w:pPr>
              <w:pStyle w:val="null3"/>
              <w:jc w:val="both"/>
            </w:pPr>
            <w:r>
              <w:rPr>
                <w:rFonts w:ascii="仿宋_GB2312" w:hAnsi="仿宋_GB2312" w:cs="仿宋_GB2312" w:eastAsia="仿宋_GB2312"/>
                <w:sz w:val="28"/>
                <w:b/>
              </w:rPr>
              <w:t>（三）白杨透翅蛾、杨树溃疡病巡查、监测</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1）巡查监测路线</w:t>
            </w:r>
          </w:p>
          <w:p>
            <w:pPr>
              <w:pStyle w:val="null3"/>
              <w:jc w:val="both"/>
            </w:pPr>
            <w:r>
              <w:rPr>
                <w:rFonts w:ascii="仿宋_GB2312" w:hAnsi="仿宋_GB2312" w:cs="仿宋_GB2312" w:eastAsia="仿宋_GB2312"/>
                <w:sz w:val="28"/>
              </w:rPr>
              <w:t>根据我市地形地貌，白杨透翅蛾、杨树溃疡病发生、分布、危害情况，按照《林业有害生物监测预报技术规范》的要求，合理设置</w:t>
            </w:r>
            <w:r>
              <w:rPr>
                <w:rFonts w:ascii="仿宋_GB2312" w:hAnsi="仿宋_GB2312" w:cs="仿宋_GB2312" w:eastAsia="仿宋_GB2312"/>
                <w:sz w:val="28"/>
              </w:rPr>
              <w:t>3条巡查线路，在巡查线路悬挂白杨透翅蛾诱捕器31套，巡查线路具体如下：</w:t>
            </w:r>
          </w:p>
          <w:p>
            <w:pPr>
              <w:pStyle w:val="null3"/>
              <w:jc w:val="both"/>
            </w:pPr>
            <w:r>
              <w:rPr>
                <w:rFonts w:ascii="仿宋_GB2312" w:hAnsi="仿宋_GB2312" w:cs="仿宋_GB2312" w:eastAsia="仿宋_GB2312"/>
                <w:sz w:val="28"/>
              </w:rPr>
              <w:t>1号线路：炎黄公路与河堤路交叉处—方山河华阴与华州区交界处，主要监测白杨透翅蛾、杨树溃疡病。</w:t>
            </w:r>
          </w:p>
          <w:p>
            <w:pPr>
              <w:pStyle w:val="null3"/>
              <w:jc w:val="both"/>
            </w:pPr>
            <w:r>
              <w:rPr>
                <w:rFonts w:ascii="仿宋_GB2312" w:hAnsi="仿宋_GB2312" w:cs="仿宋_GB2312" w:eastAsia="仿宋_GB2312"/>
                <w:sz w:val="28"/>
              </w:rPr>
              <w:t>2号线路：五馆一中心一长涧河与撤退路丁字口—演家村东处，主要监测白杨透翅蛾、杨树溃疡病。</w:t>
            </w:r>
          </w:p>
          <w:p>
            <w:pPr>
              <w:pStyle w:val="null3"/>
              <w:jc w:val="both"/>
            </w:pPr>
            <w:r>
              <w:rPr>
                <w:rFonts w:ascii="仿宋_GB2312" w:hAnsi="仿宋_GB2312" w:cs="仿宋_GB2312" w:eastAsia="仿宋_GB2312"/>
                <w:sz w:val="28"/>
              </w:rPr>
              <w:t>3号线路：城市森林—高速路华阴出口—高速路罗敷出口—横上村村界处，主要监测白杨透翅蛾、杨树溃疡病。</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2）白杨透翅蛾诱捕器诱芯参数：</w:t>
            </w:r>
          </w:p>
          <w:p>
            <w:pPr>
              <w:pStyle w:val="null3"/>
              <w:jc w:val="both"/>
            </w:pPr>
            <w:r>
              <w:rPr>
                <w:rFonts w:ascii="仿宋_GB2312" w:hAnsi="仿宋_GB2312" w:cs="仿宋_GB2312" w:eastAsia="仿宋_GB2312"/>
                <w:sz w:val="28"/>
              </w:rPr>
              <w:t>诱捕器参数：诱捕器主体</w:t>
            </w:r>
            <w:r>
              <w:rPr>
                <w:rFonts w:ascii="仿宋_GB2312" w:hAnsi="仿宋_GB2312" w:cs="仿宋_GB2312" w:eastAsia="仿宋_GB2312"/>
                <w:sz w:val="28"/>
              </w:rPr>
              <w:t>1个（415*260mm）、五环悬挂架1个、粘虫板（D28*42cm）、诱芯悬挂支架1个。诱捕器主体注塑，PP料抗紫外线程度。诱芯参数：载体为天然脱硫橡胶胶塞，载体长度为14±2mm，最大断面直径10±1mm；诱芯净重450±20mg。活性组分及含量:反-3，顺-13-十八碳烯醇。含量0.3-1.0mg。</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3）组建监测队伍</w:t>
            </w:r>
          </w:p>
          <w:p>
            <w:pPr>
              <w:pStyle w:val="null3"/>
              <w:jc w:val="both"/>
            </w:pPr>
            <w:r>
              <w:rPr>
                <w:rFonts w:ascii="仿宋_GB2312" w:hAnsi="仿宋_GB2312" w:cs="仿宋_GB2312" w:eastAsia="仿宋_GB2312"/>
                <w:sz w:val="28"/>
              </w:rPr>
              <w:t>监测队伍主要由第三方测报员人员组成，承担白杨透翅蛾、杨树溃疡病巡查监测任务。</w:t>
            </w:r>
          </w:p>
          <w:p>
            <w:pPr>
              <w:pStyle w:val="null3"/>
              <w:jc w:val="both"/>
            </w:pPr>
            <w:r>
              <w:rPr>
                <w:rFonts w:ascii="仿宋_GB2312" w:hAnsi="仿宋_GB2312" w:cs="仿宋_GB2312" w:eastAsia="仿宋_GB2312"/>
                <w:sz w:val="28"/>
              </w:rPr>
              <w:t>按照有关技术规程，负责三条线路上白杨透翅蛾、杨树溃疡病的监测巡查、每条路线均落实到人，每月保证至少一次全面巡查，有虫情的区域每周必须每月巡查两次</w:t>
            </w:r>
            <w:r>
              <w:rPr>
                <w:rFonts w:ascii="仿宋_GB2312" w:hAnsi="仿宋_GB2312" w:cs="仿宋_GB2312" w:eastAsia="仿宋_GB2312"/>
                <w:sz w:val="32"/>
                <w:color w:val="000000"/>
              </w:rPr>
              <w:t>。</w:t>
            </w:r>
            <w:r>
              <w:rPr>
                <w:rFonts w:ascii="仿宋_GB2312" w:hAnsi="仿宋_GB2312" w:cs="仿宋_GB2312" w:eastAsia="仿宋_GB2312"/>
                <w:sz w:val="28"/>
              </w:rPr>
              <w:t>负责监测巡查组织、指导和兼职监测人员技术知识培训工作，并做好监测数据分析、汇总和资料整理归档工作。</w:t>
            </w:r>
          </w:p>
          <w:p>
            <w:pPr>
              <w:pStyle w:val="null3"/>
              <w:jc w:val="both"/>
            </w:pPr>
            <w:r>
              <w:rPr>
                <w:rFonts w:ascii="仿宋_GB2312" w:hAnsi="仿宋_GB2312" w:cs="仿宋_GB2312" w:eastAsia="仿宋_GB2312"/>
                <w:sz w:val="32"/>
                <w:b/>
              </w:rPr>
              <w:t>（</w:t>
            </w:r>
            <w:r>
              <w:rPr>
                <w:rFonts w:ascii="仿宋_GB2312" w:hAnsi="仿宋_GB2312" w:cs="仿宋_GB2312" w:eastAsia="仿宋_GB2312"/>
                <w:sz w:val="32"/>
                <w:b/>
              </w:rPr>
              <w:t>4</w:t>
            </w:r>
            <w:r>
              <w:rPr>
                <w:rFonts w:ascii="仿宋_GB2312" w:hAnsi="仿宋_GB2312" w:cs="仿宋_GB2312" w:eastAsia="仿宋_GB2312"/>
                <w:sz w:val="32"/>
                <w:b/>
              </w:rPr>
              <w:t>）</w:t>
            </w:r>
            <w:r>
              <w:rPr>
                <w:rFonts w:ascii="仿宋_GB2312" w:hAnsi="仿宋_GB2312" w:cs="仿宋_GB2312" w:eastAsia="仿宋_GB2312"/>
                <w:sz w:val="28"/>
                <w:b/>
              </w:rPr>
              <w:t>白杨透翅蛾巡查、监测</w:t>
            </w:r>
          </w:p>
          <w:p>
            <w:pPr>
              <w:pStyle w:val="null3"/>
              <w:ind w:firstLine="560"/>
              <w:jc w:val="both"/>
            </w:pPr>
            <w:r>
              <w:rPr>
                <w:rFonts w:ascii="仿宋_GB2312" w:hAnsi="仿宋_GB2312" w:cs="仿宋_GB2312" w:eastAsia="仿宋_GB2312"/>
                <w:sz w:val="28"/>
              </w:rPr>
              <w:t>1、线路巡查</w:t>
            </w:r>
            <w:r>
              <w:rPr>
                <w:rFonts w:ascii="仿宋_GB2312" w:hAnsi="仿宋_GB2312" w:cs="仿宋_GB2312" w:eastAsia="仿宋_GB2312"/>
                <w:sz w:val="28"/>
                <w:color w:val="000000"/>
              </w:rPr>
              <w:t>、监测</w:t>
            </w:r>
          </w:p>
          <w:p>
            <w:pPr>
              <w:pStyle w:val="null3"/>
              <w:ind w:firstLine="560"/>
              <w:jc w:val="both"/>
            </w:pPr>
            <w:r>
              <w:rPr>
                <w:rFonts w:ascii="仿宋_GB2312" w:hAnsi="仿宋_GB2312" w:cs="仿宋_GB2312" w:eastAsia="仿宋_GB2312"/>
                <w:sz w:val="28"/>
              </w:rPr>
              <w:t>按照预先设定的线路，</w:t>
            </w:r>
            <w:r>
              <w:rPr>
                <w:rFonts w:ascii="仿宋_GB2312" w:hAnsi="仿宋_GB2312" w:cs="仿宋_GB2312" w:eastAsia="仿宋_GB2312"/>
                <w:sz w:val="28"/>
              </w:rPr>
              <w:t>5</w:t>
            </w:r>
            <w:r>
              <w:rPr>
                <w:rFonts w:ascii="仿宋_GB2312" w:hAnsi="仿宋_GB2312" w:cs="仿宋_GB2312" w:eastAsia="仿宋_GB2312"/>
                <w:sz w:val="28"/>
              </w:rPr>
              <w:t>-10月用目测法每月调查林木有无白杨透翅蛾危害状。将结果填入《</w:t>
            </w:r>
            <w:r>
              <w:rPr>
                <w:rFonts w:ascii="仿宋_GB2312" w:hAnsi="仿宋_GB2312" w:cs="仿宋_GB2312" w:eastAsia="仿宋_GB2312"/>
                <w:sz w:val="21"/>
                <w:u w:val="single"/>
              </w:rPr>
              <w:t xml:space="preserve">        </w:t>
            </w:r>
            <w:r>
              <w:rPr>
                <w:rFonts w:ascii="仿宋_GB2312" w:hAnsi="仿宋_GB2312" w:cs="仿宋_GB2312" w:eastAsia="仿宋_GB2312"/>
                <w:sz w:val="28"/>
              </w:rPr>
              <w:t>虫（病）线路巡查、监测记录表》。确定发生地段和范围后</w:t>
            </w:r>
            <w:r>
              <w:rPr>
                <w:rFonts w:ascii="仿宋_GB2312" w:hAnsi="仿宋_GB2312" w:cs="仿宋_GB2312" w:eastAsia="仿宋_GB2312"/>
                <w:sz w:val="28"/>
              </w:rPr>
              <w:t>,根据需要设标准地进行详细调查。</w:t>
            </w:r>
          </w:p>
          <w:p>
            <w:pPr>
              <w:pStyle w:val="null3"/>
              <w:ind w:firstLine="560"/>
              <w:jc w:val="both"/>
            </w:pPr>
            <w:r>
              <w:rPr>
                <w:rFonts w:ascii="仿宋_GB2312" w:hAnsi="仿宋_GB2312" w:cs="仿宋_GB2312" w:eastAsia="仿宋_GB2312"/>
                <w:sz w:val="28"/>
              </w:rPr>
              <w:t>有下列危害状之一的</w:t>
            </w:r>
            <w:r>
              <w:rPr>
                <w:rFonts w:ascii="仿宋_GB2312" w:hAnsi="仿宋_GB2312" w:cs="仿宋_GB2312" w:eastAsia="仿宋_GB2312"/>
                <w:sz w:val="28"/>
              </w:rPr>
              <w:t>,表示有虫:</w:t>
            </w:r>
          </w:p>
          <w:p>
            <w:pPr>
              <w:pStyle w:val="null3"/>
              <w:ind w:firstLine="560"/>
              <w:jc w:val="both"/>
            </w:pPr>
            <w:r>
              <w:rPr>
                <w:rFonts w:ascii="仿宋_GB2312" w:hAnsi="仿宋_GB2312" w:cs="仿宋_GB2312" w:eastAsia="仿宋_GB2312"/>
                <w:sz w:val="28"/>
              </w:rPr>
              <w:t>——枝干上有虫瘿,并有排粪孔及新鲜的纤维状虫粪;</w:t>
            </w:r>
          </w:p>
          <w:p>
            <w:pPr>
              <w:pStyle w:val="null3"/>
              <w:ind w:firstLine="560"/>
              <w:jc w:val="both"/>
            </w:pPr>
            <w:r>
              <w:rPr>
                <w:rFonts w:ascii="仿宋_GB2312" w:hAnsi="仿宋_GB2312" w:cs="仿宋_GB2312" w:eastAsia="仿宋_GB2312"/>
                <w:sz w:val="28"/>
              </w:rPr>
              <w:t>——枝干上虽无明显虫瘿,但有排粪孔及新鲜的纤维状虫粪;</w:t>
            </w:r>
          </w:p>
          <w:p>
            <w:pPr>
              <w:pStyle w:val="null3"/>
              <w:ind w:firstLine="560"/>
              <w:jc w:val="both"/>
            </w:pPr>
            <w:r>
              <w:rPr>
                <w:rFonts w:ascii="仿宋_GB2312" w:hAnsi="仿宋_GB2312" w:cs="仿宋_GB2312" w:eastAsia="仿宋_GB2312"/>
                <w:sz w:val="28"/>
              </w:rPr>
              <w:t>——虽无虫瘿,但枝干上有幼虫侵入症状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——枝干上有遗留蛹壳。</w:t>
            </w:r>
          </w:p>
          <w:p>
            <w:pPr>
              <w:pStyle w:val="null3"/>
              <w:ind w:firstLine="560"/>
              <w:jc w:val="both"/>
            </w:pPr>
            <w:r>
              <w:rPr>
                <w:rFonts w:ascii="仿宋_GB2312" w:hAnsi="仿宋_GB2312" w:cs="仿宋_GB2312" w:eastAsia="仿宋_GB2312"/>
                <w:sz w:val="28"/>
              </w:rPr>
              <w:t>2、性信息素诱捕监测</w:t>
            </w:r>
          </w:p>
          <w:p>
            <w:pPr>
              <w:pStyle w:val="null3"/>
              <w:ind w:firstLine="560"/>
              <w:jc w:val="both"/>
            </w:pPr>
            <w:r>
              <w:rPr>
                <w:rFonts w:ascii="仿宋_GB2312" w:hAnsi="仿宋_GB2312" w:cs="仿宋_GB2312" w:eastAsia="仿宋_GB2312"/>
                <w:sz w:val="28"/>
              </w:rPr>
              <w:t>白杨透翅蛾性信息素是人工合成的对白杨透翅蛾雄成虫具有引诱活性的化学物质</w:t>
            </w:r>
            <w:r>
              <w:rPr>
                <w:rFonts w:ascii="仿宋_GB2312" w:hAnsi="仿宋_GB2312" w:cs="仿宋_GB2312" w:eastAsia="仿宋_GB2312"/>
                <w:sz w:val="28"/>
              </w:rPr>
              <w:t>,其制成缓释诱芯配合诱捕器可用于白杨透翅蛾的监测与防治。按照预先安装的诱捕器，每15天对诱捕器的诱捕情况进行调查，填写《</w:t>
            </w:r>
            <w:r>
              <w:rPr>
                <w:rFonts w:ascii="仿宋_GB2312" w:hAnsi="仿宋_GB2312" w:cs="仿宋_GB2312" w:eastAsia="仿宋_GB2312"/>
                <w:sz w:val="21"/>
                <w:u w:val="single"/>
              </w:rPr>
              <w:t xml:space="preserve">        </w:t>
            </w:r>
            <w:r>
              <w:rPr>
                <w:rFonts w:ascii="仿宋_GB2312" w:hAnsi="仿宋_GB2312" w:cs="仿宋_GB2312" w:eastAsia="仿宋_GB2312"/>
                <w:sz w:val="28"/>
              </w:rPr>
              <w:t>成虫调查记录表》。</w:t>
            </w:r>
          </w:p>
          <w:p>
            <w:pPr>
              <w:pStyle w:val="null3"/>
              <w:ind w:firstLine="560"/>
              <w:jc w:val="both"/>
            </w:pPr>
            <w:r>
              <w:rPr>
                <w:rFonts w:ascii="仿宋_GB2312" w:hAnsi="仿宋_GB2312" w:cs="仿宋_GB2312" w:eastAsia="仿宋_GB2312"/>
                <w:sz w:val="28"/>
                <w:color w:val="000000"/>
              </w:rPr>
              <w:t>白杨透翅蛾诱捕器悬挂技术要点：</w:t>
            </w:r>
          </w:p>
          <w:p>
            <w:pPr>
              <w:pStyle w:val="null3"/>
              <w:ind w:firstLine="560"/>
              <w:jc w:val="both"/>
            </w:pPr>
            <w:r>
              <w:rPr>
                <w:rFonts w:ascii="仿宋_GB2312" w:hAnsi="仿宋_GB2312" w:cs="仿宋_GB2312" w:eastAsia="仿宋_GB2312"/>
                <w:sz w:val="28"/>
                <w:color w:val="000000"/>
              </w:rPr>
              <w:t>诱捕器型号：中捷四方大船型白杨透翅蛾诱捕器（诱芯</w:t>
            </w:r>
            <w:r>
              <w:rPr>
                <w:rFonts w:ascii="仿宋_GB2312" w:hAnsi="仿宋_GB2312" w:cs="仿宋_GB2312" w:eastAsia="仿宋_GB2312"/>
                <w:sz w:val="28"/>
                <w:color w:val="000000"/>
              </w:rPr>
              <w:t>4</w:t>
            </w:r>
            <w:r>
              <w:rPr>
                <w:rFonts w:ascii="仿宋_GB2312" w:hAnsi="仿宋_GB2312" w:cs="仿宋_GB2312" w:eastAsia="仿宋_GB2312"/>
                <w:sz w:val="28"/>
                <w:color w:val="000000"/>
              </w:rPr>
              <w:t>个、诱捕器辅助材料</w:t>
            </w:r>
            <w:r>
              <w:rPr>
                <w:rFonts w:ascii="仿宋_GB2312" w:hAnsi="仿宋_GB2312" w:cs="仿宋_GB2312" w:eastAsia="仿宋_GB2312"/>
                <w:sz w:val="28"/>
                <w:color w:val="000000"/>
              </w:rPr>
              <w:t>1套）</w:t>
            </w:r>
          </w:p>
          <w:p>
            <w:pPr>
              <w:pStyle w:val="null3"/>
              <w:ind w:firstLine="560"/>
              <w:jc w:val="both"/>
            </w:pPr>
            <w:r>
              <w:rPr>
                <w:rFonts w:ascii="仿宋_GB2312" w:hAnsi="仿宋_GB2312" w:cs="仿宋_GB2312" w:eastAsia="仿宋_GB2312"/>
                <w:sz w:val="28"/>
                <w:color w:val="000000"/>
              </w:rPr>
              <w:t>悬挂时间：</w:t>
            </w:r>
            <w:r>
              <w:rPr>
                <w:rFonts w:ascii="仿宋_GB2312" w:hAnsi="仿宋_GB2312" w:cs="仿宋_GB2312" w:eastAsia="仿宋_GB2312"/>
                <w:sz w:val="28"/>
                <w:color w:val="000000"/>
              </w:rPr>
              <w:t>5</w:t>
            </w:r>
            <w:r>
              <w:rPr>
                <w:rFonts w:ascii="仿宋_GB2312" w:hAnsi="仿宋_GB2312" w:cs="仿宋_GB2312" w:eastAsia="仿宋_GB2312"/>
                <w:sz w:val="28"/>
                <w:color w:val="000000"/>
              </w:rPr>
              <w:t>月</w:t>
            </w: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月</w:t>
            </w:r>
          </w:p>
          <w:p>
            <w:pPr>
              <w:pStyle w:val="null3"/>
              <w:ind w:firstLine="560"/>
              <w:jc w:val="both"/>
            </w:pPr>
            <w:r>
              <w:rPr>
                <w:rFonts w:ascii="仿宋_GB2312" w:hAnsi="仿宋_GB2312" w:cs="仿宋_GB2312" w:eastAsia="仿宋_GB2312"/>
                <w:sz w:val="28"/>
                <w:color w:val="000000"/>
              </w:rPr>
              <w:t>悬挂位置：悬挂高度根据树木的生长情况和害虫飞行习性来确定。一般悬挂在树干高度</w:t>
            </w:r>
            <w:r>
              <w:rPr>
                <w:rFonts w:ascii="仿宋_GB2312" w:hAnsi="仿宋_GB2312" w:cs="仿宋_GB2312" w:eastAsia="仿宋_GB2312"/>
                <w:sz w:val="28"/>
                <w:color w:val="000000"/>
              </w:rPr>
              <w:t>1.5 - 2 米处；方向应尽量悬挂在通风良好且向阳的一侧，这样可以使诱芯的气味更好地散发，吸引更多的白杨透翅蛾。</w:t>
            </w:r>
          </w:p>
          <w:p>
            <w:pPr>
              <w:pStyle w:val="null3"/>
              <w:ind w:firstLine="560"/>
              <w:jc w:val="both"/>
            </w:pPr>
            <w:r>
              <w:rPr>
                <w:rFonts w:ascii="仿宋_GB2312" w:hAnsi="仿宋_GB2312" w:cs="仿宋_GB2312" w:eastAsia="仿宋_GB2312"/>
                <w:sz w:val="28"/>
              </w:rPr>
              <w:t>悬挂密度：根据杨树种植密度、虫害发生程度和地形地貌等因素合理确定悬挂密度。</w:t>
            </w:r>
            <w:r>
              <w:rPr>
                <w:rFonts w:ascii="仿宋_GB2312" w:hAnsi="仿宋_GB2312" w:cs="仿宋_GB2312" w:eastAsia="仿宋_GB2312"/>
                <w:sz w:val="28"/>
              </w:rPr>
              <w:t>1号线路</w:t>
            </w:r>
            <w:r>
              <w:rPr>
                <w:rFonts w:ascii="仿宋_GB2312" w:hAnsi="仿宋_GB2312" w:cs="仿宋_GB2312" w:eastAsia="仿宋_GB2312"/>
                <w:sz w:val="28"/>
              </w:rPr>
              <w:t>每</w:t>
            </w:r>
            <w:r>
              <w:rPr>
                <w:rFonts w:ascii="仿宋_GB2312" w:hAnsi="仿宋_GB2312" w:cs="仿宋_GB2312" w:eastAsia="仿宋_GB2312"/>
                <w:sz w:val="28"/>
              </w:rPr>
              <w:t>点</w:t>
            </w:r>
            <w:r>
              <w:rPr>
                <w:rFonts w:ascii="仿宋_GB2312" w:hAnsi="仿宋_GB2312" w:cs="仿宋_GB2312" w:eastAsia="仿宋_GB2312"/>
                <w:sz w:val="28"/>
              </w:rPr>
              <w:t>悬挂</w:t>
            </w:r>
            <w:r>
              <w:rPr>
                <w:rFonts w:ascii="仿宋_GB2312" w:hAnsi="仿宋_GB2312" w:cs="仿宋_GB2312" w:eastAsia="仿宋_GB2312"/>
                <w:sz w:val="28"/>
              </w:rPr>
              <w:t>1</w:t>
            </w:r>
            <w:r>
              <w:rPr>
                <w:rFonts w:ascii="仿宋_GB2312" w:hAnsi="仿宋_GB2312" w:cs="仿宋_GB2312" w:eastAsia="仿宋_GB2312"/>
                <w:sz w:val="28"/>
              </w:rPr>
              <w:t xml:space="preserve"> </w:t>
            </w:r>
            <w:r>
              <w:rPr>
                <w:rFonts w:ascii="仿宋_GB2312" w:hAnsi="仿宋_GB2312" w:cs="仿宋_GB2312" w:eastAsia="仿宋_GB2312"/>
                <w:sz w:val="28"/>
              </w:rPr>
              <w:t>个诱捕器</w:t>
            </w:r>
            <w:r>
              <w:rPr>
                <w:rFonts w:ascii="仿宋_GB2312" w:hAnsi="仿宋_GB2312" w:cs="仿宋_GB2312" w:eastAsia="仿宋_GB2312"/>
                <w:sz w:val="28"/>
              </w:rPr>
              <w:t>，</w:t>
            </w:r>
            <w:r>
              <w:rPr>
                <w:rFonts w:ascii="仿宋_GB2312" w:hAnsi="仿宋_GB2312" w:cs="仿宋_GB2312" w:eastAsia="仿宋_GB2312"/>
                <w:sz w:val="28"/>
              </w:rPr>
              <w:t>2、3号线路每点</w:t>
            </w:r>
            <w:r>
              <w:rPr>
                <w:rFonts w:ascii="仿宋_GB2312" w:hAnsi="仿宋_GB2312" w:cs="仿宋_GB2312" w:eastAsia="仿宋_GB2312"/>
                <w:sz w:val="28"/>
              </w:rPr>
              <w:t>悬挂</w:t>
            </w:r>
            <w:r>
              <w:rPr>
                <w:rFonts w:ascii="仿宋_GB2312" w:hAnsi="仿宋_GB2312" w:cs="仿宋_GB2312" w:eastAsia="仿宋_GB2312"/>
                <w:sz w:val="28"/>
              </w:rPr>
              <w:t>2</w:t>
            </w:r>
            <w:r>
              <w:rPr>
                <w:rFonts w:ascii="仿宋_GB2312" w:hAnsi="仿宋_GB2312" w:cs="仿宋_GB2312" w:eastAsia="仿宋_GB2312"/>
                <w:sz w:val="28"/>
              </w:rPr>
              <w:t>个诱捕器。</w:t>
            </w:r>
          </w:p>
          <w:p>
            <w:pPr>
              <w:pStyle w:val="null3"/>
              <w:ind w:firstLine="560"/>
              <w:jc w:val="both"/>
            </w:pPr>
            <w:r>
              <w:rPr>
                <w:rFonts w:ascii="仿宋_GB2312" w:hAnsi="仿宋_GB2312" w:cs="仿宋_GB2312" w:eastAsia="仿宋_GB2312"/>
                <w:sz w:val="28"/>
                <w:color w:val="000000"/>
              </w:rPr>
              <w:t>质量检查：定期检查诱捕器的使用情况，一般每半个月检查一次。查看诱捕到的害虫数量、诱芯的挥发情况以及诱捕器是否损坏等。</w:t>
            </w:r>
          </w:p>
          <w:p>
            <w:pPr>
              <w:pStyle w:val="null3"/>
              <w:ind w:firstLine="560"/>
              <w:jc w:val="both"/>
            </w:pPr>
            <w:r>
              <w:rPr>
                <w:rFonts w:ascii="仿宋_GB2312" w:hAnsi="仿宋_GB2312" w:cs="仿宋_GB2312" w:eastAsia="仿宋_GB2312"/>
                <w:sz w:val="28"/>
                <w:color w:val="000000"/>
              </w:rPr>
              <w:t>更换诱芯：诱芯的有效期一般为</w:t>
            </w:r>
            <w:r>
              <w:rPr>
                <w:rFonts w:ascii="仿宋_GB2312" w:hAnsi="仿宋_GB2312" w:cs="仿宋_GB2312" w:eastAsia="仿宋_GB2312"/>
                <w:sz w:val="28"/>
                <w:color w:val="000000"/>
              </w:rPr>
              <w:t>1个月，当诱芯的气味挥发减弱或诱捕到的害虫数量明显减少时，应及时更换诱芯，以保证诱捕效果。</w:t>
            </w:r>
          </w:p>
          <w:p>
            <w:pPr>
              <w:pStyle w:val="null3"/>
              <w:ind w:firstLine="560"/>
              <w:jc w:val="both"/>
            </w:pPr>
            <w:r>
              <w:rPr>
                <w:rFonts w:ascii="仿宋_GB2312" w:hAnsi="仿宋_GB2312" w:cs="仿宋_GB2312" w:eastAsia="仿宋_GB2312"/>
                <w:sz w:val="28"/>
              </w:rPr>
              <w:t>3、发生危害程度划分</w:t>
            </w:r>
          </w:p>
          <w:p>
            <w:pPr>
              <w:pStyle w:val="null3"/>
              <w:ind w:firstLine="560"/>
              <w:jc w:val="both"/>
            </w:pPr>
            <w:r>
              <w:rPr>
                <w:rFonts w:ascii="仿宋_GB2312" w:hAnsi="仿宋_GB2312" w:cs="仿宋_GB2312" w:eastAsia="仿宋_GB2312"/>
                <w:sz w:val="28"/>
              </w:rPr>
              <w:t>以幼虫为主要调查阶段</w:t>
            </w:r>
            <w:r>
              <w:rPr>
                <w:rFonts w:ascii="仿宋_GB2312" w:hAnsi="仿宋_GB2312" w:cs="仿宋_GB2312" w:eastAsia="仿宋_GB2312"/>
                <w:sz w:val="28"/>
              </w:rPr>
              <w:t>,林分发生与危害程度分为轻、中、重。划分标准参见LY/T1681中对白杨透翅蛾的相关规定。</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5</w:t>
            </w:r>
            <w:r>
              <w:rPr>
                <w:rFonts w:ascii="仿宋_GB2312" w:hAnsi="仿宋_GB2312" w:cs="仿宋_GB2312" w:eastAsia="仿宋_GB2312"/>
                <w:sz w:val="28"/>
                <w:b/>
              </w:rPr>
              <w:t>）</w:t>
            </w:r>
            <w:r>
              <w:rPr>
                <w:rFonts w:ascii="仿宋_GB2312" w:hAnsi="仿宋_GB2312" w:cs="仿宋_GB2312" w:eastAsia="仿宋_GB2312"/>
                <w:sz w:val="28"/>
                <w:b/>
              </w:rPr>
              <w:t>杨树溃疡病巡查、监测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1）线路巡查</w:t>
            </w:r>
            <w:r>
              <w:rPr>
                <w:rFonts w:ascii="仿宋_GB2312" w:hAnsi="仿宋_GB2312" w:cs="仿宋_GB2312" w:eastAsia="仿宋_GB2312"/>
                <w:sz w:val="28"/>
                <w:color w:val="000000"/>
              </w:rPr>
              <w:t>、监测</w:t>
            </w:r>
          </w:p>
          <w:p>
            <w:pPr>
              <w:pStyle w:val="null3"/>
              <w:ind w:firstLine="560"/>
              <w:jc w:val="both"/>
            </w:pPr>
            <w:r>
              <w:rPr>
                <w:rFonts w:ascii="仿宋_GB2312" w:hAnsi="仿宋_GB2312" w:cs="仿宋_GB2312" w:eastAsia="仿宋_GB2312"/>
                <w:sz w:val="28"/>
              </w:rPr>
              <w:t>杨树溃疡病发生期以每个线路为单位进行踏查，按踏查线路随机调查</w:t>
            </w:r>
            <w:r>
              <w:rPr>
                <w:rFonts w:ascii="仿宋_GB2312" w:hAnsi="仿宋_GB2312" w:cs="仿宋_GB2312" w:eastAsia="仿宋_GB2312"/>
                <w:sz w:val="28"/>
              </w:rPr>
              <w:t>100</w:t>
            </w:r>
            <w:r>
              <w:rPr>
                <w:rFonts w:ascii="仿宋_GB2312" w:hAnsi="仿宋_GB2312" w:cs="仿宋_GB2312" w:eastAsia="仿宋_GB2312"/>
                <w:sz w:val="28"/>
              </w:rPr>
              <w:t>棵</w:t>
            </w:r>
            <w:r>
              <w:rPr>
                <w:rFonts w:ascii="仿宋_GB2312" w:hAnsi="仿宋_GB2312" w:cs="仿宋_GB2312" w:eastAsia="仿宋_GB2312"/>
                <w:sz w:val="28"/>
              </w:rPr>
              <w:t>树，统计发病株率，确定发生程度。将调查结果填入《</w:t>
            </w:r>
            <w:r>
              <w:rPr>
                <w:rFonts w:ascii="仿宋_GB2312" w:hAnsi="仿宋_GB2312" w:cs="仿宋_GB2312" w:eastAsia="仿宋_GB2312"/>
                <w:sz w:val="21"/>
                <w:u w:val="single"/>
              </w:rPr>
              <w:t xml:space="preserve">        </w:t>
            </w:r>
            <w:r>
              <w:rPr>
                <w:rFonts w:ascii="仿宋_GB2312" w:hAnsi="仿宋_GB2312" w:cs="仿宋_GB2312" w:eastAsia="仿宋_GB2312"/>
                <w:sz w:val="28"/>
              </w:rPr>
              <w:t>虫（病）线路巡查、监测记录表》。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2）发生程度划分</w:t>
            </w:r>
          </w:p>
          <w:p>
            <w:pPr>
              <w:pStyle w:val="null3"/>
              <w:ind w:firstLine="560"/>
              <w:jc w:val="both"/>
            </w:pPr>
            <w:r>
              <w:rPr>
                <w:rFonts w:ascii="仿宋_GB2312" w:hAnsi="仿宋_GB2312" w:cs="仿宋_GB2312" w:eastAsia="仿宋_GB2312"/>
                <w:sz w:val="28"/>
              </w:rPr>
              <w:t>低感病林分</w:t>
            </w:r>
            <w:r>
              <w:rPr>
                <w:rFonts w:ascii="仿宋_GB2312" w:hAnsi="仿宋_GB2312" w:cs="仿宋_GB2312" w:eastAsia="仿宋_GB2312"/>
                <w:sz w:val="28"/>
              </w:rPr>
              <w:t>(发病株率0～5%),轻度发生林分(发病株率5～10%)、中度发生林分(发病株率11～20%)和重度发生林分(发病株率20%以上)</w:t>
            </w:r>
          </w:p>
          <w:p>
            <w:pPr>
              <w:pStyle w:val="null3"/>
              <w:jc w:val="both"/>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期限</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自合同签订之日起至</w:t>
            </w:r>
            <w:r>
              <w:rPr>
                <w:rFonts w:ascii="仿宋_GB2312" w:hAnsi="仿宋_GB2312" w:cs="仿宋_GB2312" w:eastAsia="仿宋_GB2312"/>
                <w:sz w:val="28"/>
                <w:b/>
                <w:color w:val="000000"/>
              </w:rPr>
              <w:t>2026年10月20日</w:t>
            </w:r>
            <w:r>
              <w:rPr>
                <w:rFonts w:ascii="仿宋_GB2312" w:hAnsi="仿宋_GB2312" w:cs="仿宋_GB2312" w:eastAsia="仿宋_GB2312"/>
                <w:sz w:val="28"/>
                <w:b/>
                <w:color w:val="000000"/>
              </w:rPr>
              <w:t>。</w:t>
            </w:r>
          </w:p>
          <w:p>
            <w:pPr>
              <w:pStyle w:val="null3"/>
              <w:jc w:val="both"/>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服务质量、标准等要求</w:t>
            </w:r>
            <w:r>
              <w:rPr>
                <w:rFonts w:ascii="仿宋_GB2312" w:hAnsi="仿宋_GB2312" w:cs="仿宋_GB2312" w:eastAsia="仿宋_GB2312"/>
                <w:sz w:val="28"/>
                <w:b/>
                <w:color w:val="000000"/>
              </w:rPr>
              <w:t>：</w:t>
            </w:r>
            <w:r>
              <w:rPr>
                <w:rFonts w:ascii="仿宋_GB2312" w:hAnsi="仿宋_GB2312" w:cs="仿宋_GB2312" w:eastAsia="仿宋_GB2312"/>
                <w:sz w:val="28"/>
                <w:color w:val="000000"/>
              </w:rPr>
              <w:t>供应商</w:t>
            </w:r>
            <w:r>
              <w:rPr>
                <w:rFonts w:ascii="仿宋_GB2312" w:hAnsi="仿宋_GB2312" w:cs="仿宋_GB2312" w:eastAsia="仿宋_GB2312"/>
                <w:sz w:val="28"/>
              </w:rPr>
              <w:t>必须严格按照有关技术标准，依照有关规定，对建设内容定期进行检查。供应商负责项目管理进程中的一切安全责任，其中包括万一发生的一切工伤事故及工作人员的作业或非作业性的人身安全等责任。供应商必须按时发</w:t>
            </w:r>
            <w:r>
              <w:rPr>
                <w:rFonts w:ascii="仿宋_GB2312" w:hAnsi="仿宋_GB2312" w:cs="仿宋_GB2312" w:eastAsia="仿宋_GB2312"/>
                <w:sz w:val="28"/>
              </w:rPr>
              <w:t>放</w:t>
            </w:r>
            <w:r>
              <w:rPr>
                <w:rFonts w:ascii="仿宋_GB2312" w:hAnsi="仿宋_GB2312" w:cs="仿宋_GB2312" w:eastAsia="仿宋_GB2312"/>
                <w:sz w:val="28"/>
              </w:rPr>
              <w:t>工资，聘用人员工资待遇不能低于当地政府的最低工资待遇标准（社会保险和意外保险另算），任何劳资纠纷全由供应商负责。供应商必须按</w:t>
            </w:r>
            <w:r>
              <w:rPr>
                <w:rFonts w:ascii="仿宋_GB2312" w:hAnsi="仿宋_GB2312" w:cs="仿宋_GB2312" w:eastAsia="仿宋_GB2312"/>
                <w:sz w:val="28"/>
                <w:u w:val="single"/>
              </w:rPr>
              <w:t>法律、法规</w:t>
            </w:r>
            <w:r>
              <w:rPr>
                <w:rFonts w:ascii="仿宋_GB2312" w:hAnsi="仿宋_GB2312" w:cs="仿宋_GB2312" w:eastAsia="仿宋_GB2312"/>
                <w:sz w:val="28"/>
              </w:rPr>
              <w:t>及有关政策规定为其服务人员购买相关保险。</w:t>
            </w:r>
          </w:p>
          <w:p>
            <w:pPr>
              <w:pStyle w:val="null3"/>
              <w:ind w:firstLine="560"/>
              <w:jc w:val="both"/>
            </w:pPr>
            <w:r>
              <w:rPr>
                <w:rFonts w:ascii="仿宋_GB2312" w:hAnsi="仿宋_GB2312" w:cs="仿宋_GB2312" w:eastAsia="仿宋_GB2312"/>
                <w:sz w:val="28"/>
              </w:rPr>
              <w:t>供应商必须落实好安全生产的措施和配置安全作业的劳保用品。供应商的服务人员数量必须满足采购人的实际工作要求，且穿着统一标识的工作服。供应商所有与本项目有关的技术标准均应不低于已颁布的国家和行业标准，或相应的国际标准的有关条文。使用最新的专利和保密专利需特别说明。</w:t>
            </w:r>
          </w:p>
          <w:p>
            <w:pPr>
              <w:pStyle w:val="null3"/>
              <w:jc w:val="left"/>
            </w:pPr>
            <w:r>
              <w:rPr>
                <w:rFonts w:ascii="仿宋_GB2312" w:hAnsi="仿宋_GB2312" w:cs="仿宋_GB2312" w:eastAsia="仿宋_GB2312"/>
                <w:sz w:val="28"/>
                <w:b/>
              </w:rPr>
              <w:t>五、质量要求：</w:t>
            </w:r>
            <w:r>
              <w:rPr>
                <w:rFonts w:ascii="仿宋_GB2312" w:hAnsi="仿宋_GB2312" w:cs="仿宋_GB2312" w:eastAsia="仿宋_GB2312"/>
                <w:sz w:val="28"/>
              </w:rPr>
              <w:t>符合国家及行业质量验收标准。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渭南市华阴市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符合国家相关法律、法规及行业质量标准和采购人要求，达到合格标准。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无人机飞防作业完成后及诱捕器采购、安装完成后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详见双方签订的服务合同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采购包成交人在领取成交通知书前，须向采购代理机构提供纸质版响应文件3套（一正两副），且提供的响应文件必须与在陕西省政府采购综合管理平台的项目电子化交易系统中递交的电子响应文件内容一致，纸质版响应文件必须装订成 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供应商具有林业有害生物防治作业乙级以上（含乙级）资质证书。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业绩证明文件.docx 资格证明文件.docx 响应文件封面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磋商响应文件格式、语言、计量单位、报价货币</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陕西省政府采购供应商拒绝政府采购领域商业贿赂承诺书.docx 业绩证明文件.docx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根据供应商为本项目提供的服务方案包含不限于：①对项目的理解与认识；②项目重点难点分析；③服务方案；④团队人员分工及安排；⑤应急预案；⑥项目服务制度。二、评审标准：服务方案各部分内容全面详细、阐述条理清晰详尽、符合本项目采购需求得30分，每缺一项内容扣5分，评审内容有瑕疵的根据情况扣分，扣完为止。 备注：评审内容“瑕疵”是 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①质量保障措施；②服务规章制度；③奖罚措施；④培训管理；⑤储备方案。 二、评审标准：质量保障措施各部分内容全面详细、阐述条理清晰详尽、符合本项目采购需求得10分，每缺一项内容扣2分，评审内容有瑕疵的根据情况扣分 ，扣完为止。 备注：评审内容“瑕疵”是指：内容粗略、逻辑混乱、 描述过于简单、与项目特点不匹配 、逻辑漏洞、出现常识性错误、存在不适用项目实际情况的情形或只有标题没有实质性内容等。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人员及设备、机具配备方案</w:t>
            </w:r>
          </w:p>
        </w:tc>
        <w:tc>
          <w:tcPr>
            <w:tcW w:type="dxa" w:w="2492"/>
          </w:tcPr>
          <w:p>
            <w:pPr>
              <w:pStyle w:val="null3"/>
            </w:pPr>
            <w:r>
              <w:rPr>
                <w:rFonts w:ascii="仿宋_GB2312" w:hAnsi="仿宋_GB2312" w:cs="仿宋_GB2312" w:eastAsia="仿宋_GB2312"/>
              </w:rPr>
              <w:t>一、评审内容： ①人员配备方案；②机械设备及劳动工具投入方案；③人员培训考核方案。评审标准：人员及设备、机具配备方案各部分内容全面详细、阐述条理清晰详尽、符合本项目采购需求得12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①工作时间进度表；②工作程序和步骤；③关键步骤的思路和要点。评审标准：进度保障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①制定详细周全的人员作业安全措施；②突发事件应急措施（包括但不限于林木焚烧、高处坠落、触电应急、用药安全等方面）。评审标准：应急处置方案各部分内容全面详细、阐述条理清晰详尽、符合本项目采购需求得5分，每缺一项内容扣2.5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服务承诺①健全的质量控制体系；②质量保证承诺；③质量控制目标的合理分解。评审标准：服务承诺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供应商须提供2023年1月至今（以合同签订时间为准）类似项目业绩(同时提供合同复印件加盖公章)，每提供一份得2分，最高得8分。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 磋商报价得分=（磋商基准价/最终磋商报价）*价格分值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