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版本号：ZCSP-华阴市-2025-00112.1B120260303001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华阴市罗敷镇托西村巷道排水等9个标段项目(二次)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ZCSP-华阴市-2025-00112.1B1</w:t>
      </w:r>
      <w:r>
        <w:br/>
      </w:r>
      <w:r>
        <w:br/>
      </w:r>
      <w:r>
        <w:br/>
      </w:r>
    </w:p>
    <w:p>
      <w:pPr>
        <w:pStyle w:val="null3"/>
        <w:jc w:val="center"/>
        <w:outlineLvl w:val="2"/>
      </w:pPr>
      <w:r>
        <w:rPr>
          <w:rFonts w:ascii="仿宋_GB2312" w:hAnsi="仿宋_GB2312" w:cs="仿宋_GB2312" w:eastAsia="仿宋_GB2312"/>
          <w:sz w:val="28"/>
          <w:b/>
        </w:rPr>
        <w:t>华阴市水土保持和移民工作中心</w:t>
      </w:r>
    </w:p>
    <w:p>
      <w:pPr>
        <w:pStyle w:val="null3"/>
        <w:jc w:val="center"/>
        <w:outlineLvl w:val="2"/>
      </w:pPr>
      <w:r>
        <w:rPr>
          <w:rFonts w:ascii="仿宋_GB2312" w:hAnsi="仿宋_GB2312" w:cs="仿宋_GB2312" w:eastAsia="仿宋_GB2312"/>
          <w:sz w:val="28"/>
          <w:b/>
        </w:rPr>
        <w:t>陕西诚信达工程建设咨询有限责任公司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陕西诚信达工程建设咨询有限责任公司</w:t>
      </w:r>
      <w:r>
        <w:rPr>
          <w:rFonts w:ascii="仿宋_GB2312" w:hAnsi="仿宋_GB2312" w:cs="仿宋_GB2312" w:eastAsia="仿宋_GB2312"/>
        </w:rPr>
        <w:t>（以下简称“代理机构”）受</w:t>
      </w:r>
      <w:r>
        <w:rPr>
          <w:rFonts w:ascii="仿宋_GB2312" w:hAnsi="仿宋_GB2312" w:cs="仿宋_GB2312" w:eastAsia="仿宋_GB2312"/>
        </w:rPr>
        <w:t>华阴市水土保持和移民工作中心</w:t>
      </w:r>
      <w:r>
        <w:rPr>
          <w:rFonts w:ascii="仿宋_GB2312" w:hAnsi="仿宋_GB2312" w:cs="仿宋_GB2312" w:eastAsia="仿宋_GB2312"/>
        </w:rPr>
        <w:t>委托，拟对</w:t>
      </w:r>
      <w:r>
        <w:rPr>
          <w:rFonts w:ascii="仿宋_GB2312" w:hAnsi="仿宋_GB2312" w:cs="仿宋_GB2312" w:eastAsia="仿宋_GB2312"/>
        </w:rPr>
        <w:t>华阴市罗敷镇托西村巷道排水等9个标段项目(二次)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ZCSP-华阴市-2025-00112.1B1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华阴市罗敷镇托西村巷道排水等9个标段项目(二次)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本次招标为合同包1：华阴市罗敷镇托西村巷道排水等2个项目。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采购包1（华阴市罗敷镇托西村巷道排水等2个项目）：属于专门面向中小企业采购。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1、营业执照：具有有效的营业执照</w:t>
      </w:r>
    </w:p>
    <w:p>
      <w:pPr>
        <w:pStyle w:val="null3"/>
      </w:pPr>
      <w:r>
        <w:rPr>
          <w:rFonts w:ascii="仿宋_GB2312" w:hAnsi="仿宋_GB2312" w:cs="仿宋_GB2312" w:eastAsia="仿宋_GB2312"/>
        </w:rPr>
        <w:t>2、资质等级：具备建设行政主管部门核发的市政公用工程施工总承包三级以上（含三级）资质，具备有效的安全生产许可证，并在人员、设备、资金等方面具备相应施工能力，具备类似项目施工经验，且信誉良好，无不良记录；</w:t>
      </w:r>
    </w:p>
    <w:p>
      <w:pPr>
        <w:pStyle w:val="null3"/>
      </w:pPr>
      <w:r>
        <w:rPr>
          <w:rFonts w:ascii="仿宋_GB2312" w:hAnsi="仿宋_GB2312" w:cs="仿宋_GB2312" w:eastAsia="仿宋_GB2312"/>
        </w:rPr>
        <w:t>3、项目经理资格：拟派项目经理须市政公用工程专业二级（含二级）以上注册建造师证书，具有安全考核合格B证，且无在建项目，无不良记录；</w:t>
      </w:r>
    </w:p>
    <w:p>
      <w:pPr>
        <w:pStyle w:val="null3"/>
      </w:pPr>
      <w:r>
        <w:rPr>
          <w:rFonts w:ascii="仿宋_GB2312" w:hAnsi="仿宋_GB2312" w:cs="仿宋_GB2312" w:eastAsia="仿宋_GB2312"/>
        </w:rPr>
        <w:t>4、财务状况：提供2024年度的经第三方审计机构财务审计报告（至少包括资产负债表和利润表，成立时间至提交磋商响应文件截止时间不足一年的可提供成立后任意时段的资产负债表），或其基本存款账户开户银行出具的资信证明及基本存款账户开户许可证或政府采购信用担保机构出具的投标担保函；</w:t>
      </w:r>
    </w:p>
    <w:p>
      <w:pPr>
        <w:pStyle w:val="null3"/>
      </w:pPr>
      <w:r>
        <w:rPr>
          <w:rFonts w:ascii="仿宋_GB2312" w:hAnsi="仿宋_GB2312" w:cs="仿宋_GB2312" w:eastAsia="仿宋_GB2312"/>
        </w:rPr>
        <w:t>5、税收缴纳证明：提供磋商响应文件递交截止时间前6个月内任意一个月的缴费凭据，依法免税的单位应提供相关证明材料；</w:t>
      </w:r>
    </w:p>
    <w:p>
      <w:pPr>
        <w:pStyle w:val="null3"/>
      </w:pPr>
      <w:r>
        <w:rPr>
          <w:rFonts w:ascii="仿宋_GB2312" w:hAnsi="仿宋_GB2312" w:cs="仿宋_GB2312" w:eastAsia="仿宋_GB2312"/>
        </w:rPr>
        <w:t>6、社会保障资金缴纳证明：提供磋商响应文件递交截止时间前6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7、无重大违法记录声明：供应商需提供参加政府采购活动近3年内在经营活动中没有重大违法纪录的书面声明；</w:t>
      </w:r>
    </w:p>
    <w:p>
      <w:pPr>
        <w:pStyle w:val="null3"/>
      </w:pPr>
      <w:r>
        <w:rPr>
          <w:rFonts w:ascii="仿宋_GB2312" w:hAnsi="仿宋_GB2312" w:cs="仿宋_GB2312" w:eastAsia="仿宋_GB2312"/>
        </w:rPr>
        <w:t>8、履约能力承诺书：提供具有履行合同所必需的设备和专业技术能力的承诺书；</w:t>
      </w:r>
    </w:p>
    <w:p>
      <w:pPr>
        <w:pStyle w:val="null3"/>
      </w:pPr>
      <w:r>
        <w:rPr>
          <w:rFonts w:ascii="仿宋_GB2312" w:hAnsi="仿宋_GB2312" w:cs="仿宋_GB2312" w:eastAsia="仿宋_GB2312"/>
        </w:rPr>
        <w:t>9、无控股承诺：单位负责人为同一人或者存在直接控股、管理关系的不同供应商，不得参加同一合同项下的政府采购活动；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10、信誉情况：供应商不得在“信用中国”（www.creditchina.gov.cn）网站被列为失信被执行人和重大税收违法失信主体，且无不良记录。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华阴市水土保持和移民工作中心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华阴市太华南路77号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华阴市水土保持和移民工作中心经办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0913-4612282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陕西诚信达工程建设咨询有限责任公司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陕西省西安市凤城七路长和国际B座16楼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17386960448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刘方</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0913-8373765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采购包1：365,918.99元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开户名称：陕西诚信达工程建设咨询有限责任公司</w:t>
            </w:r>
          </w:p>
          <w:p>
            <w:pPr>
              <w:pStyle w:val="null3"/>
            </w:pPr>
            <w:r>
              <w:rPr>
                <w:rFonts w:ascii="仿宋_GB2312" w:hAnsi="仿宋_GB2312" w:cs="仿宋_GB2312" w:eastAsia="仿宋_GB2312"/>
              </w:rPr>
              <w:t>开户银行：中国工商银行渭南解放路支行</w:t>
            </w:r>
          </w:p>
          <w:p>
            <w:pPr>
              <w:pStyle w:val="null3"/>
            </w:pPr>
            <w:r>
              <w:rPr>
                <w:rFonts w:ascii="仿宋_GB2312" w:hAnsi="仿宋_GB2312" w:cs="仿宋_GB2312" w:eastAsia="仿宋_GB2312"/>
              </w:rPr>
              <w:t>银行账号：2605040419200007101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代理服务费收费标准：招标代理服务费以中标价为基数，参照国家发改委计价格［2002］1980号、发改办价格［2003］857号、发改价格[2011]534号文件规定计取； 以上费用由成交单位支付。</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华阴市水土保持和移民工作中心</w:t>
      </w:r>
      <w:r>
        <w:rPr>
          <w:rFonts w:ascii="仿宋_GB2312" w:hAnsi="仿宋_GB2312" w:cs="仿宋_GB2312" w:eastAsia="仿宋_GB2312"/>
        </w:rPr>
        <w:t>和</w:t>
      </w:r>
      <w:r>
        <w:rPr>
          <w:rFonts w:ascii="仿宋_GB2312" w:hAnsi="仿宋_GB2312" w:cs="仿宋_GB2312" w:eastAsia="仿宋_GB2312"/>
        </w:rPr>
        <w:t>陕西诚信达工程建设咨询有限责任公司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华阴市水土保持和移民工作中心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陕西诚信达工程建设咨询有限责任公司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华阴市水土保持和移民工作中心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陕西诚信达工程建设咨询有限责任公司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陕西诚信达工程建设咨询有限责任公司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陕西诚信达工程建设咨询有限责任公司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陕西诚信达工程建设咨询有限责任公司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联系人：刘芬</w:t>
      </w:r>
    </w:p>
    <w:p>
      <w:pPr>
        <w:pStyle w:val="null3"/>
      </w:pPr>
      <w:r>
        <w:rPr>
          <w:rFonts w:ascii="仿宋_GB2312" w:hAnsi="仿宋_GB2312" w:cs="仿宋_GB2312" w:eastAsia="仿宋_GB2312"/>
        </w:rPr>
        <w:t>联系电话：17386960448</w:t>
      </w:r>
    </w:p>
    <w:p>
      <w:pPr>
        <w:pStyle w:val="null3"/>
      </w:pPr>
      <w:r>
        <w:rPr>
          <w:rFonts w:ascii="仿宋_GB2312" w:hAnsi="仿宋_GB2312" w:cs="仿宋_GB2312" w:eastAsia="仿宋_GB2312"/>
        </w:rPr>
        <w:t>地址：陕西省西安市凤城七路长和国际B座16楼</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365,918.99</w:t>
      </w:r>
    </w:p>
    <w:p>
      <w:pPr>
        <w:pStyle w:val="null3"/>
      </w:pPr>
      <w:r>
        <w:rPr>
          <w:rFonts w:ascii="仿宋_GB2312" w:hAnsi="仿宋_GB2312" w:cs="仿宋_GB2312" w:eastAsia="仿宋_GB2312"/>
        </w:rPr>
        <w:t>采购包最高限价（元）: 365,918.99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华阴市罗敷镇托西村巷道排水等2个项目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365,918.99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标的名称：华阴市罗敷镇托西村巷道排水等2个项目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97"/>
              <w:gridCol w:w="349"/>
              <w:gridCol w:w="1063"/>
              <w:gridCol w:w="374"/>
              <w:gridCol w:w="247"/>
              <w:gridCol w:w="222"/>
            </w:tblGrid>
            <w:tr>
              <w:tc>
                <w:tcPr>
                  <w:tcW w:type="dxa" w:w="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项目名称</w:t>
                  </w:r>
                </w:p>
              </w:tc>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单体项目名称</w:t>
                  </w:r>
                </w:p>
              </w:tc>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合同内容</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限价</w:t>
                  </w:r>
                </w:p>
                <w:p>
                  <w:pPr>
                    <w:pStyle w:val="null3"/>
                    <w:jc w:val="center"/>
                  </w:pPr>
                  <w:r>
                    <w:rPr>
                      <w:rFonts w:ascii="仿宋_GB2312" w:hAnsi="仿宋_GB2312" w:cs="仿宋_GB2312" w:eastAsia="仿宋_GB2312"/>
                      <w:sz w:val="21"/>
                      <w:color w:val="000000"/>
                    </w:rPr>
                    <w:t>（元）</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单体项目限价</w:t>
                  </w:r>
                </w:p>
                <w:p>
                  <w:pPr>
                    <w:pStyle w:val="null3"/>
                    <w:jc w:val="center"/>
                  </w:pPr>
                  <w:r>
                    <w:rPr>
                      <w:rFonts w:ascii="仿宋_GB2312" w:hAnsi="仿宋_GB2312" w:cs="仿宋_GB2312" w:eastAsia="仿宋_GB2312"/>
                      <w:sz w:val="21"/>
                      <w:color w:val="000000"/>
                    </w:rPr>
                    <w:t>（元）</w:t>
                  </w:r>
                </w:p>
              </w:tc>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工期</w:t>
                  </w:r>
                </w:p>
                <w:p>
                  <w:pPr>
                    <w:pStyle w:val="null3"/>
                    <w:jc w:val="center"/>
                  </w:pPr>
                  <w:r>
                    <w:rPr>
                      <w:rFonts w:ascii="仿宋_GB2312" w:hAnsi="仿宋_GB2312" w:cs="仿宋_GB2312" w:eastAsia="仿宋_GB2312"/>
                      <w:sz w:val="21"/>
                      <w:color w:val="000000"/>
                    </w:rPr>
                    <w:t>（天）</w:t>
                  </w:r>
                </w:p>
              </w:tc>
            </w:tr>
            <w:tr>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华阴市罗敷镇托西村巷道排水等</w:t>
                  </w:r>
                  <w:r>
                    <w:rPr>
                      <w:rFonts w:ascii="仿宋_GB2312" w:hAnsi="仿宋_GB2312" w:cs="仿宋_GB2312" w:eastAsia="仿宋_GB2312"/>
                      <w:sz w:val="21"/>
                      <w:color w:val="000000"/>
                    </w:rPr>
                    <w:t>2个项目</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华阴市罗敷镇托西村巷道排水项目</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拆除混凝土结构</w:t>
                  </w:r>
                  <w:r>
                    <w:rPr>
                      <w:rFonts w:ascii="仿宋_GB2312" w:hAnsi="仿宋_GB2312" w:cs="仿宋_GB2312" w:eastAsia="仿宋_GB2312"/>
                      <w:sz w:val="21"/>
                      <w:color w:val="000000"/>
                    </w:rPr>
                    <w:t>29.38m3，砼路面破除弃运68m2，修建混凝土渠道340m。</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365,918.99</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150,716.68</w:t>
                  </w:r>
                </w:p>
              </w:tc>
              <w:tc>
                <w:tcPr>
                  <w:tcW w:type="dxa" w:w="2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297"/>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华阴市罗敷镇罗敷村巷道硬化项目</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拆除混凝土路面及基层</w:t>
                  </w:r>
                  <w:r>
                    <w:rPr>
                      <w:rFonts w:ascii="仿宋_GB2312" w:hAnsi="仿宋_GB2312" w:cs="仿宋_GB2312" w:eastAsia="仿宋_GB2312"/>
                      <w:sz w:val="21"/>
                      <w:color w:val="000000"/>
                    </w:rPr>
                    <w:t>900m2，路基整平压实900m2，铺设15cm厚水泥稳定土基础900m2，浇筑15cm厚C30混凝土路面900m2，路肩培土63m3，外购素土63m3；渠道清淤48m3，混凝土渠道修补100m。</w:t>
                  </w:r>
                </w:p>
              </w:tc>
              <w:tc>
                <w:tcPr>
                  <w:tcW w:type="dxa" w:w="374"/>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215,202.31</w:t>
                  </w:r>
                </w:p>
              </w:tc>
              <w:tc>
                <w:tcPr>
                  <w:tcW w:type="dxa" w:w="222"/>
                  <w:vMerge/>
                  <w:tcBorders>
                    <w:top w:val="none" w:color="000000" w:sz="4"/>
                    <w:left w:val="single" w:color="000000" w:sz="4"/>
                    <w:bottom w:val="single" w:color="000000" w:sz="4"/>
                    <w:right w:val="single" w:color="000000" w:sz="4"/>
                  </w:tcBorders>
                </w:tcP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1、质量标准：合格 2、质保期：1年 3、工程项目建设相关要求：按照工期完成施工内容并通过验收。</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程进度过半后，支付合同总金额的60.00%，工程完工验收合格审计结算后支付合同总金额的40.00%。2、成交供应商应在磋商会议结束后3日内向采购人提交最终版《工程量清单表》，供应商最终版《工程量清单表》中的总报价应与最终磋商总报价保持一致。 3、中标（成交）供应商在中标（成交）结果公告发布后3个工作日内，向招标代理公司提供叁套纸质投标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的经第三方审计机构财务审计报告（至少包括资产负债表和利润表，成立时间至提交磋商响应文件截止时间不足一年的可提供成立后任意时段的资产负债表），或其基本存款账户开户银行出具的资信证明及基本存款账户开户许可证或政府采购信用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具有有效的营业执照</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资质等级</w:t>
            </w:r>
          </w:p>
        </w:tc>
        <w:tc>
          <w:tcPr>
            <w:tcW w:type="dxa" w:w="3322"/>
          </w:tcPr>
          <w:p>
            <w:pPr>
              <w:pStyle w:val="null3"/>
            </w:pPr>
            <w:r>
              <w:rPr>
                <w:rFonts w:ascii="仿宋_GB2312" w:hAnsi="仿宋_GB2312" w:cs="仿宋_GB2312" w:eastAsia="仿宋_GB2312"/>
              </w:rPr>
              <w:t>具备建设行政主管部门核发的市政公用工程施工总承包三级以上（含三级）资质，具备有效的安全生产许可证，并在人员、设备、资金等方面具备相应施工能力，具备类似项目施工经验，且信誉良好，无不良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项目经理资格</w:t>
            </w:r>
          </w:p>
        </w:tc>
        <w:tc>
          <w:tcPr>
            <w:tcW w:type="dxa" w:w="3322"/>
          </w:tcPr>
          <w:p>
            <w:pPr>
              <w:pStyle w:val="null3"/>
            </w:pPr>
            <w:r>
              <w:rPr>
                <w:rFonts w:ascii="仿宋_GB2312" w:hAnsi="仿宋_GB2312" w:cs="仿宋_GB2312" w:eastAsia="仿宋_GB2312"/>
              </w:rPr>
              <w:t>拟派项目经理须市政公用工程专业二级（含二级）以上注册建造师证书，具有安全考核合格B证，且无在建项目，无不良记录；</w:t>
            </w:r>
          </w:p>
        </w:tc>
        <w:tc>
          <w:tcPr>
            <w:tcW w:type="dxa" w:w="1661"/>
          </w:tcPr>
          <w:p>
            <w:pPr>
              <w:pStyle w:val="null3"/>
            </w:pPr>
            <w:r>
              <w:rPr>
                <w:rFonts w:ascii="仿宋_GB2312" w:hAnsi="仿宋_GB2312" w:cs="仿宋_GB2312" w:eastAsia="仿宋_GB2312"/>
              </w:rPr>
              <w:t>供应商应提交的相关资格证明材料.docx 项目管理机构组成表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的经第三方审计机构财务审计报告（至少包括资产负债表和利润表，成立时间至提交磋商响应文件截止时间不足一年的可提供成立后任意时段的资产负债表），或其基本存款账户开户银行出具的资信证明及基本存款账户开户许可证或政府采购信用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提供磋商响应文件递交截止时间前6个月内任意一个月的缴费凭据，依法免税的单位应提供相关证明材料；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提供磋商响应文件递交截止时间前6个月内任意一个月的社会保障资金缴存单据或社保机构开具的社会保险参保缴费情况证明，依法不需要缴纳社会保障资金的单位应提供相关证明材料；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供应商需提供参加政府采购活动近3年内在经营活动中没有重大违法纪录的书面声明；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履约能力承诺书</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无控股承诺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供应商不得在“信用中国”（www.creditchina.gov.cn）网站被列为失信被执行人和重大税收违法失信主体，且无不良记录。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已标价工程量清单 项目管理机构组成表 中小企业声明函 报价函 技术服务合同条款及其他商务要求应答表 标的清单 供应商类似项目业绩一览表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磋商响应文件上法定代表人或其委托代理人的签字或盖章、供应商的单位章盖章齐全，符合磋商文件规定。</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施工总体部署及规划</w:t>
            </w:r>
          </w:p>
        </w:tc>
        <w:tc>
          <w:tcPr>
            <w:tcW w:type="dxa" w:w="2492"/>
          </w:tcPr>
          <w:p>
            <w:pPr>
              <w:pStyle w:val="null3"/>
            </w:pPr>
            <w:r>
              <w:rPr>
                <w:rFonts w:ascii="仿宋_GB2312" w:hAnsi="仿宋_GB2312" w:cs="仿宋_GB2312" w:eastAsia="仿宋_GB2312"/>
              </w:rPr>
              <w:t>一、评审内容：包括但不限于：①施工总体规划及安排②施工总平面布置； 二、评审标准：以上2项，以序号①、②为项数，每项无缺陷得3分，满分6分。每项评审内容每存在一处缺陷扣1分，扣完为止；未提供不得分。（说明：存在下列情形之一的属于内容缺陷：①内容与项目实际不吻合、层次未细化的；②阐述未从实际出发，不切合项目背景、项目需求的；③存在抄袭或套用其他地区内容或与本项目无关的；④前后逻辑错误的；⑤涉及内容无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一、评审内容：包括但不限于①施工准备；②施工方法及相关技术措施；③重点难点工程分析及解决措施； 二、评审标准：以上3项，以序号①、②、③为项数，每项无缺陷得4分，满分12分。每项评审内容每存在一处缺陷扣1分，扣完为止；未提供不得分。（说明：存在下列情形之一的属于内容缺陷：①内容与项目实际不吻合、层次未细化的；②阐述未从实际出发，不切合项目背景、项目需求的；③存在抄袭或套用其他地区内容或与本项目无关的；④前后逻辑错误的；⑤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质量保证管理体系与措施</w:t>
            </w:r>
          </w:p>
        </w:tc>
        <w:tc>
          <w:tcPr>
            <w:tcW w:type="dxa" w:w="2492"/>
          </w:tcPr>
          <w:p>
            <w:pPr>
              <w:pStyle w:val="null3"/>
            </w:pPr>
            <w:r>
              <w:rPr>
                <w:rFonts w:ascii="仿宋_GB2312" w:hAnsi="仿宋_GB2312" w:cs="仿宋_GB2312" w:eastAsia="仿宋_GB2312"/>
              </w:rPr>
              <w:t>一、评审内容：①质量目标②质量管理体系③质量管理措施； 二、评审标准：以上3项，以序号①、②、③为项数，每项无缺陷得2分，满分6分。每项评审内容每存在一处缺陷扣1分，扣完为止；未提供不得分。（说明：存在下列情形之一的属于内容缺陷：①内容与项目实际不吻合、层次未细化的；②阐述未从实际出发，不切合项目背景、项目需求的；③存在抄袭或套用其他地区内容或与本项目无关的；④前后逻辑错误的；⑤涉及内容无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安全生产管理体系与措施</w:t>
            </w:r>
          </w:p>
        </w:tc>
        <w:tc>
          <w:tcPr>
            <w:tcW w:type="dxa" w:w="2492"/>
          </w:tcPr>
          <w:p>
            <w:pPr>
              <w:pStyle w:val="null3"/>
            </w:pPr>
            <w:r>
              <w:rPr>
                <w:rFonts w:ascii="仿宋_GB2312" w:hAnsi="仿宋_GB2312" w:cs="仿宋_GB2312" w:eastAsia="仿宋_GB2312"/>
              </w:rPr>
              <w:t>一、评审内容：①安全生产目标②安全控制体系③安全管理措施； 二、评审标准：以上3项，以序号①、②、③为项数，每项无缺陷得2分，满分6分。每项评审内容每存在一处缺陷扣1分，扣完为止；未提供不得分。（说明：存在下列情形之一的属于内容缺陷：①内容与项目实际不吻合、层次未细化的；②阐述未从实际出发，不切合项目背景、项目需求的；③存在抄袭或套用其他地区内容或与本项目无关的；④前后逻辑错误的；⑤涉及内容无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一、评审内容：①文明施工及环境保护目标②文明施工及环境保护管理体系；③文明施工及环境保护措施； 二、评审标准：以上3项，以序号①、②、③为项数，每项无缺陷得2分，满分6分。每项评审内容每存在一处缺陷扣1分，扣完为止；未提供不得分。（说明：存在下列情形之一的属于内容缺陷：①内容与项目实际不吻合、层次未细化的；②阐述未从实际出发，不切合项目背景、项目需求的；③存在抄袭或套用其他地区内容或与本项目无关的；④前后逻辑错误的；⑤涉及内容无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一、评审内容：①工期目标②施工进度计划；③工期保障措施； 二、评审标准：以上3项，以序号①、②、③为项数，每项无缺陷得2分，满分6分。每项评审内容每存在一处缺陷扣1分，扣完为止；未提供不得分。（说明：存在下列情形之一的属于内容缺陷：①内容与项目实际不吻合、层次未细化的；②阐述未从实际出发，不切合项目背景、项目需求的；③存在抄袭或套用其他地区内容或与本项目无关的；④前后逻辑错误的；⑤涉及内容无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一、评审内容：①主要施工机械设备②劳动力安排计划；③材料进场计划； 二、评审标准：以上3项，以序号①、②、③为项数，每项无缺陷得2分，满分6分。每项评审内容每存在一处缺陷扣1分，扣完为止；未提供不得分。（说明：存在下列情形之一的属于内容缺陷：①内容与项目实际不吻合、层次未细化的；②阐述未从实际出发，不切合项目背景、项目需求的；③存在抄袭或套用其他地区内容或与本项目无关的；④前后逻辑错误的；⑤涉及内容无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1.除技术负责人外，项目管理机构中每具有一个市政工程相关专业中级职称得0.5分,具有高级职称得1；本项最高得2分。 2.①项目管理机构人员配备8人及以上得4分； ②项目管理机构人员配备5-7人得2分； 本项须提供人员相关证件； 注：不提供或完全背离评审标准得0分。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供应商在2022年10月1日至今，具有类似业绩（以合同及成交通知书为准），每一份计2分，计满6分为止。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磋商报价得分=（磋商基准价/最终磋商报价）×价格权值（即40%）×100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