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版本号：HYDZB202601620260429002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2026年小麦促弱转壮项目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HYDZB2026016</w:t>
      </w:r>
      <w:r>
        <w:br/>
      </w:r>
      <w:r>
        <w:br/>
      </w:r>
      <w:r>
        <w:br/>
      </w:r>
    </w:p>
    <w:p>
      <w:pPr>
        <w:pStyle w:val="null3"/>
        <w:jc w:val="center"/>
        <w:outlineLvl w:val="2"/>
      </w:pPr>
      <w:r>
        <w:rPr>
          <w:rFonts w:ascii="仿宋_GB2312" w:hAnsi="仿宋_GB2312" w:cs="仿宋_GB2312" w:eastAsia="仿宋_GB2312"/>
          <w:sz w:val="28"/>
          <w:b/>
        </w:rPr>
        <w:t>华阴市农业农村局</w:t>
      </w:r>
    </w:p>
    <w:p>
      <w:pPr>
        <w:pStyle w:val="null3"/>
        <w:jc w:val="center"/>
        <w:outlineLvl w:val="2"/>
      </w:pPr>
      <w:r>
        <w:rPr>
          <w:rFonts w:ascii="仿宋_GB2312" w:hAnsi="仿宋_GB2312" w:cs="仿宋_GB2312" w:eastAsia="仿宋_GB2312"/>
          <w:sz w:val="28"/>
          <w:b/>
        </w:rPr>
        <w:t>陕西恒益鼎工程项目管理有限公司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陕西恒益鼎工程项目管理有限公司</w:t>
      </w:r>
      <w:r>
        <w:rPr>
          <w:rFonts w:ascii="仿宋_GB2312" w:hAnsi="仿宋_GB2312" w:cs="仿宋_GB2312" w:eastAsia="仿宋_GB2312"/>
        </w:rPr>
        <w:t>（以下简称“代理机构”）受</w:t>
      </w:r>
      <w:r>
        <w:rPr>
          <w:rFonts w:ascii="仿宋_GB2312" w:hAnsi="仿宋_GB2312" w:cs="仿宋_GB2312" w:eastAsia="仿宋_GB2312"/>
        </w:rPr>
        <w:t>华阴市农业农村局</w:t>
      </w:r>
      <w:r>
        <w:rPr>
          <w:rFonts w:ascii="仿宋_GB2312" w:hAnsi="仿宋_GB2312" w:cs="仿宋_GB2312" w:eastAsia="仿宋_GB2312"/>
        </w:rPr>
        <w:t>委托，拟对</w:t>
      </w:r>
      <w:r>
        <w:rPr>
          <w:rFonts w:ascii="仿宋_GB2312" w:hAnsi="仿宋_GB2312" w:cs="仿宋_GB2312" w:eastAsia="仿宋_GB2312"/>
        </w:rPr>
        <w:t>2026年小麦促弱转壮项目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HYDZB2026016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2026年小麦促弱转壮项目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为奠定小麦丰产基础，通过采购药剂和无人机防治服务形式，完成2026年小麦促弱转壮项目。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1、营业执照：供应商应在中华人民共和国境内注册，是合法注册的法人或其他组织,并出具合法有效的营业执照；</w:t>
      </w:r>
    </w:p>
    <w:p>
      <w:pPr>
        <w:pStyle w:val="null3"/>
      </w:pPr>
      <w:r>
        <w:rPr>
          <w:rFonts w:ascii="仿宋_GB2312" w:hAnsi="仿宋_GB2312" w:cs="仿宋_GB2312" w:eastAsia="仿宋_GB2312"/>
        </w:rPr>
        <w:t>2、法人代表证明书或法人授权委托书：法人授权委托书后附法人及被委托人身份证，法人证明书后附法定代表人身份证；（法定代表人直接参加开标的只需提供法人代表证明书，委托人参加的附法人代表证明书和法人授权委托书）；</w:t>
      </w:r>
    </w:p>
    <w:p>
      <w:pPr>
        <w:pStyle w:val="null3"/>
      </w:pPr>
      <w:r>
        <w:rPr>
          <w:rFonts w:ascii="仿宋_GB2312" w:hAnsi="仿宋_GB2312" w:cs="仿宋_GB2312" w:eastAsia="仿宋_GB2312"/>
        </w:rPr>
        <w:t>3、供应商资质1：供应商为生产厂家须提供合法有效的农药登记证、农药生产许可证或农药生产批准文件、农药标准证；供应商为经销商的须提供农药经营许可证及生产厂家的农药登记证、农药生产许可证或农药生产批准文件、农药标准证；供应商须提供所投产品的肥料登记证或农业农村部登记备案证明（供应商为经销商的提供加盖厂家公章的肥料登记证或备案证明材料）；</w:t>
      </w:r>
    </w:p>
    <w:p>
      <w:pPr>
        <w:pStyle w:val="null3"/>
      </w:pPr>
      <w:r>
        <w:rPr>
          <w:rFonts w:ascii="仿宋_GB2312" w:hAnsi="仿宋_GB2312" w:cs="仿宋_GB2312" w:eastAsia="仿宋_GB2312"/>
        </w:rPr>
        <w:t>4、供应商资质2：供应商须具有《通用航空企业经营许可证》或《民用无人驾驶航空器运营合格证》，相关作业人员具有《植保无人机系统操作手合格证》；</w:t>
      </w:r>
    </w:p>
    <w:p>
      <w:pPr>
        <w:pStyle w:val="null3"/>
      </w:pPr>
      <w:r>
        <w:rPr>
          <w:rFonts w:ascii="仿宋_GB2312" w:hAnsi="仿宋_GB2312" w:cs="仿宋_GB2312" w:eastAsia="仿宋_GB2312"/>
        </w:rPr>
        <w:t>5、财务状况报告：提供2024年度或2025年度经审计的财务审计报告 (包括审计报告、资产负债表、利润表、现金流量表、所有者权益变动表及其附注，成立时间至开标时间不足一年的可提供成立后任意时段的资产负债表）或开标截止时间前六个月内其基本账户银行出具的资信证明或政府采购信用担保机构出具的担保函；</w:t>
      </w:r>
    </w:p>
    <w:p>
      <w:pPr>
        <w:pStyle w:val="null3"/>
      </w:pPr>
      <w:r>
        <w:rPr>
          <w:rFonts w:ascii="仿宋_GB2312" w:hAnsi="仿宋_GB2312" w:cs="仿宋_GB2312" w:eastAsia="仿宋_GB2312"/>
        </w:rPr>
        <w:t>6、税收和社保证明：提供2025年6月1日至投标截止日期内任意一个月的依法缴纳的税收（任意税种）和社保证明（社会保障资金缴存单据或社保机构开具的社会保险参保缴费情况证明）；依法免税或不需要缴纳社会保障资金的应提供相关证明材料；</w:t>
      </w:r>
    </w:p>
    <w:p>
      <w:pPr>
        <w:pStyle w:val="null3"/>
      </w:pPr>
      <w:r>
        <w:rPr>
          <w:rFonts w:ascii="仿宋_GB2312" w:hAnsi="仿宋_GB2312" w:cs="仿宋_GB2312" w:eastAsia="仿宋_GB2312"/>
        </w:rPr>
        <w:t>7、重大违法记录的书面声明：参加政府采购活动前三年内，在经营活动中没有重大违法记录的书面声明；</w:t>
      </w:r>
    </w:p>
    <w:p>
      <w:pPr>
        <w:pStyle w:val="null3"/>
      </w:pPr>
      <w:r>
        <w:rPr>
          <w:rFonts w:ascii="仿宋_GB2312" w:hAnsi="仿宋_GB2312" w:cs="仿宋_GB2312" w:eastAsia="仿宋_GB2312"/>
        </w:rPr>
        <w:t>8、设备和专业技术能力的书面声明：履行合同所必需的设备和专业技术能力的书面声明；</w:t>
      </w:r>
    </w:p>
    <w:p>
      <w:pPr>
        <w:pStyle w:val="null3"/>
      </w:pPr>
      <w:r>
        <w:rPr>
          <w:rFonts w:ascii="仿宋_GB2312" w:hAnsi="仿宋_GB2312" w:cs="仿宋_GB2312" w:eastAsia="仿宋_GB2312"/>
        </w:rPr>
        <w:t>9、控股、管理关系：单位负责人为同一人或者存在直接控股、管理关系的不同供应商，不得参加同一合同项下的投标活动；</w:t>
      </w:r>
    </w:p>
    <w:p>
      <w:pPr>
        <w:pStyle w:val="null3"/>
      </w:pPr>
      <w:r>
        <w:rPr>
          <w:rFonts w:ascii="仿宋_GB2312" w:hAnsi="仿宋_GB2312" w:cs="仿宋_GB2312" w:eastAsia="仿宋_GB2312"/>
        </w:rPr>
        <w:t>10、信用记录：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提供报名时间后的网页查询结果截图）；</w:t>
      </w:r>
    </w:p>
    <w:p>
      <w:pPr>
        <w:pStyle w:val="null3"/>
      </w:pPr>
      <w:r>
        <w:rPr>
          <w:rFonts w:ascii="仿宋_GB2312" w:hAnsi="仿宋_GB2312" w:cs="仿宋_GB2312" w:eastAsia="仿宋_GB2312"/>
        </w:rPr>
        <w:t>11、非联合体投标：本项目不接受联合体投标。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华阴市农业农村局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华阴市环城北路46号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华阴市农业局经办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15191322328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陕西恒益鼎工程项目管理有限公司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陕西省西安市临潼区秦陵南路20号二楼202室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邓钰春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02983942263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华阴市政府采购管理股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刘方</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0913-8373765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采购包1：936,800.00元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 号）、《国家发展和改革委员会办公厅关于招标代理服务收费有关问题的通知》（发改办价格〔2003〕857 号）规定的费率标准下浮5%计算招标代理服务费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华阴市农业农村局</w:t>
      </w:r>
      <w:r>
        <w:rPr>
          <w:rFonts w:ascii="仿宋_GB2312" w:hAnsi="仿宋_GB2312" w:cs="仿宋_GB2312" w:eastAsia="仿宋_GB2312"/>
        </w:rPr>
        <w:t>和</w:t>
      </w:r>
      <w:r>
        <w:rPr>
          <w:rFonts w:ascii="仿宋_GB2312" w:hAnsi="仿宋_GB2312" w:cs="仿宋_GB2312" w:eastAsia="仿宋_GB2312"/>
        </w:rPr>
        <w:t>陕西恒益鼎工程项目管理有限公司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华阴市农业农村局</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陕西恒益鼎工程项目管理有限公司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华阴市农业农村局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陕西恒益鼎工程项目管理有限公司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服务达到国家及行业验收合格标准。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陕西恒益鼎工程项目管理有限公司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陕西恒益鼎工程项目管理有限公司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陕西恒益鼎工程项目管理有限公司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联系人：邓钰春</w:t>
      </w:r>
    </w:p>
    <w:p>
      <w:pPr>
        <w:pStyle w:val="null3"/>
      </w:pPr>
      <w:r>
        <w:rPr>
          <w:rFonts w:ascii="仿宋_GB2312" w:hAnsi="仿宋_GB2312" w:cs="仿宋_GB2312" w:eastAsia="仿宋_GB2312"/>
        </w:rPr>
        <w:t>联系电话：02983942263</w:t>
      </w:r>
    </w:p>
    <w:p>
      <w:pPr>
        <w:pStyle w:val="null3"/>
      </w:pPr>
      <w:r>
        <w:rPr>
          <w:rFonts w:ascii="仿宋_GB2312" w:hAnsi="仿宋_GB2312" w:cs="仿宋_GB2312" w:eastAsia="仿宋_GB2312"/>
        </w:rPr>
        <w:t>地址：陕西省西安市临潼区秦陵南路20号二楼202室</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为奠定小麦丰产基础，通过采购药剂和无人机防治服务形式，完成2026年小麦促弱转壮项目。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936,800.00</w:t>
      </w:r>
    </w:p>
    <w:p>
      <w:pPr>
        <w:pStyle w:val="null3"/>
      </w:pPr>
      <w:r>
        <w:rPr>
          <w:rFonts w:ascii="仿宋_GB2312" w:hAnsi="仿宋_GB2312" w:cs="仿宋_GB2312" w:eastAsia="仿宋_GB2312"/>
        </w:rPr>
        <w:t>采购包最高限价（元）: 936,800.00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2026年小麦促弱转壮项目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936,800.00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标的名称：2026年小麦促弱转壮项目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left"/>
            </w:pPr>
            <w:r>
              <w:rPr>
                <w:rFonts w:ascii="仿宋_GB2312" w:hAnsi="仿宋_GB2312" w:cs="仿宋_GB2312" w:eastAsia="仿宋_GB2312"/>
                <w:sz w:val="21"/>
                <w:color w:val="000000"/>
              </w:rPr>
              <w:t>1.药剂技术要求：</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叶面肥：腐殖酸</w:t>
            </w:r>
            <w:r>
              <w:rPr>
                <w:rFonts w:ascii="仿宋_GB2312" w:hAnsi="仿宋_GB2312" w:cs="仿宋_GB2312" w:eastAsia="仿宋_GB2312"/>
                <w:sz w:val="21"/>
                <w:color w:val="000000"/>
              </w:rPr>
              <w:t>水溶肥</w:t>
            </w:r>
            <w:r>
              <w:rPr>
                <w:rFonts w:ascii="仿宋_GB2312" w:hAnsi="仿宋_GB2312" w:cs="仿宋_GB2312" w:eastAsia="仿宋_GB2312"/>
                <w:sz w:val="21"/>
                <w:color w:val="000000"/>
              </w:rPr>
              <w:t>料</w:t>
            </w:r>
            <w:r>
              <w:rPr>
                <w:rFonts w:ascii="仿宋_GB2312" w:hAnsi="仿宋_GB2312" w:cs="仿宋_GB2312" w:eastAsia="仿宋_GB2312"/>
                <w:sz w:val="21"/>
                <w:color w:val="000000"/>
              </w:rPr>
              <w:t>（</w:t>
            </w:r>
            <w:r>
              <w:rPr>
                <w:rFonts w:ascii="仿宋_GB2312" w:hAnsi="仿宋_GB2312" w:cs="仿宋_GB2312" w:eastAsia="仿宋_GB2312"/>
                <w:sz w:val="21"/>
                <w:color w:val="000000"/>
              </w:rPr>
              <w:t>腐殖酸含量</w:t>
            </w:r>
            <w:r>
              <w:rPr>
                <w:rFonts w:ascii="仿宋_GB2312" w:hAnsi="仿宋_GB2312" w:cs="仿宋_GB2312" w:eastAsia="仿宋_GB2312"/>
                <w:sz w:val="21"/>
                <w:color w:val="000000"/>
              </w:rPr>
              <w:t>≥30g/L、氮磷钾含量≥200g/L，亩用量：40毫升</w:t>
            </w:r>
            <w:r>
              <w:rPr>
                <w:rFonts w:ascii="仿宋_GB2312" w:hAnsi="仿宋_GB2312" w:cs="仿宋_GB2312" w:eastAsia="仿宋_GB2312"/>
                <w:sz w:val="21"/>
                <w:color w:val="000000"/>
              </w:rPr>
              <w:t>）</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生长调节剂</w:t>
            </w:r>
            <w:r>
              <w:rPr>
                <w:rFonts w:ascii="仿宋_GB2312" w:hAnsi="仿宋_GB2312" w:cs="仿宋_GB2312" w:eastAsia="仿宋_GB2312"/>
                <w:sz w:val="21"/>
                <w:color w:val="000000"/>
              </w:rPr>
              <w:t>：</w:t>
            </w:r>
            <w:r>
              <w:rPr>
                <w:rFonts w:ascii="仿宋_GB2312" w:hAnsi="仿宋_GB2312" w:cs="仿宋_GB2312" w:eastAsia="仿宋_GB2312"/>
                <w:sz w:val="21"/>
                <w:color w:val="000000"/>
              </w:rPr>
              <w:t>0.01%芸苔素内酯（亩用量：10毫升）。</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3）药剂采购总面积13.6万亩。所有药剂均要求按照每亩使用量进行独立分装包装，便于后续统一分发至辖区农户使用。</w:t>
            </w:r>
          </w:p>
          <w:p>
            <w:pPr>
              <w:pStyle w:val="null3"/>
              <w:ind w:firstLine="420"/>
              <w:jc w:val="left"/>
            </w:pPr>
            <w:r>
              <w:rPr>
                <w:rFonts w:ascii="仿宋_GB2312" w:hAnsi="仿宋_GB2312" w:cs="仿宋_GB2312" w:eastAsia="仿宋_GB2312"/>
                <w:sz w:val="21"/>
                <w:color w:val="000000"/>
              </w:rPr>
              <w:t>2.无人机植保服务要求：</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植保无人机防治服务</w:t>
            </w:r>
            <w:r>
              <w:rPr>
                <w:rFonts w:ascii="仿宋_GB2312" w:hAnsi="仿宋_GB2312" w:cs="仿宋_GB2312" w:eastAsia="仿宋_GB2312"/>
                <w:sz w:val="21"/>
                <w:color w:val="000000"/>
              </w:rPr>
              <w:t>6</w:t>
            </w:r>
            <w:r>
              <w:rPr>
                <w:rFonts w:ascii="仿宋_GB2312" w:hAnsi="仿宋_GB2312" w:cs="仿宋_GB2312" w:eastAsia="仿宋_GB2312"/>
                <w:sz w:val="21"/>
                <w:color w:val="000000"/>
              </w:rPr>
              <w:t>万亩，飞行高度（离作物冠层）不超过</w:t>
            </w:r>
            <w:r>
              <w:rPr>
                <w:rFonts w:ascii="仿宋_GB2312" w:hAnsi="仿宋_GB2312" w:cs="仿宋_GB2312" w:eastAsia="仿宋_GB2312"/>
                <w:sz w:val="21"/>
                <w:color w:val="000000"/>
              </w:rPr>
              <w:t>3米，飞行速度不超过9米/秒，亩喷洒药液量2-3升。最终防治效果保证85%以上。</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项目</w:t>
            </w:r>
            <w:r>
              <w:rPr>
                <w:rFonts w:ascii="仿宋_GB2312" w:hAnsi="仿宋_GB2312" w:cs="仿宋_GB2312" w:eastAsia="仿宋_GB2312"/>
                <w:sz w:val="21"/>
                <w:color w:val="000000"/>
              </w:rPr>
              <w:t>作业人员具备</w:t>
            </w:r>
            <w:r>
              <w:rPr>
                <w:rFonts w:ascii="仿宋_GB2312" w:hAnsi="仿宋_GB2312" w:cs="仿宋_GB2312" w:eastAsia="仿宋_GB2312"/>
                <w:sz w:val="21"/>
                <w:color w:val="000000"/>
              </w:rPr>
              <w:t>《植保无人机系统操作手合格证》</w:t>
            </w:r>
            <w:r>
              <w:rPr>
                <w:rFonts w:ascii="仿宋_GB2312" w:hAnsi="仿宋_GB2312" w:cs="仿宋_GB2312" w:eastAsia="仿宋_GB2312"/>
                <w:sz w:val="21"/>
                <w:color w:val="000000"/>
              </w:rPr>
              <w:t>，</w:t>
            </w:r>
            <w:r>
              <w:rPr>
                <w:rFonts w:ascii="仿宋_GB2312" w:hAnsi="仿宋_GB2312" w:cs="仿宋_GB2312" w:eastAsia="仿宋_GB2312"/>
                <w:sz w:val="21"/>
                <w:color w:val="000000"/>
              </w:rPr>
              <w:t>配备农药技术人员。</w:t>
            </w:r>
            <w:r>
              <w:rPr>
                <w:rFonts w:ascii="仿宋_GB2312" w:hAnsi="仿宋_GB2312" w:cs="仿宋_GB2312" w:eastAsia="仿宋_GB2312"/>
                <w:sz w:val="21"/>
                <w:color w:val="000000"/>
              </w:rPr>
              <w:t>保证作业人员用药规范，按配方科学配药、机手按作业要求实施作业。</w:t>
            </w:r>
          </w:p>
          <w:p>
            <w:pPr>
              <w:pStyle w:val="null3"/>
              <w:ind w:firstLine="420"/>
              <w:jc w:val="left"/>
            </w:pPr>
            <w:r>
              <w:rPr>
                <w:rFonts w:ascii="仿宋_GB2312" w:hAnsi="仿宋_GB2312" w:cs="仿宋_GB2312" w:eastAsia="仿宋_GB2312"/>
                <w:sz w:val="21"/>
              </w:rPr>
              <w:t>注：本项目采购人为华阴市植保植检站，最终采购合同与华阴市植保植检站签订。</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合同签定后3个工作日内完成药剂备货及发放，10个工作日内完成飞防服务。</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项目完成验收</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1质量标准：服务达到国家及行业验收合格标准。 2.存在未喷、漏喷、喷施防治效果未达到项目要求的，立即进行人工地面补喷，如因未喷、漏喷、飞防未达到要求的或造成损失的，由供应商承担相应的法律责任。 3验收标准：按采购文件、响应文件及澄清函、项目检查情况等综合指标进行验收。各项指标均应符合验收标准及要求。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依据合同相关约定执行</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成交供应商未全面履行合同义务或者发生违约，采购人会同采购代理机构有权终止合同，依法向成交供应商进行经济索赔，并报请政府采购监督管理机关进行相应的行政处罚。采购人违约的，应当赔偿给成交供应商造成的经济损失。合同执行中发生争议的，当事人双方应协商解决，协商达不成一致时，可向人民法院提请诉讼。</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需要在线提交所有通过电子化交易平台实施的政府采购项目的响应文件，同时线下提交纸质响应文件文件正本壹份、副本贰份、电子版文件壹份（以U盘形式提供，电子版文件应包电子交易系统生成的文件、word版本投标文件等内容）。响应文件应放入文件袋内密封，袋上标明供应商名称并加盖公章。线下纸质文件递交截止时间同在线递交电子响应文件截止时间一致。线下纸质文件递交地点：西安市临潼区秦陵南路20号新华书店2楼201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供应商应在中华人民共和国境内注册，是合法注册的法人或其他组织,并出具合法有效的营业执照；</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法人代表证明书或法人授权委托书</w:t>
            </w:r>
          </w:p>
        </w:tc>
        <w:tc>
          <w:tcPr>
            <w:tcW w:type="dxa" w:w="3322"/>
          </w:tcPr>
          <w:p>
            <w:pPr>
              <w:pStyle w:val="null3"/>
            </w:pPr>
            <w:r>
              <w:rPr>
                <w:rFonts w:ascii="仿宋_GB2312" w:hAnsi="仿宋_GB2312" w:cs="仿宋_GB2312" w:eastAsia="仿宋_GB2312"/>
              </w:rPr>
              <w:t>法人授权委托书后附法人及被委托人身份证，法人证明书后附法定代表人身份证；（法定代表人直接参加开标的只需提供法人代表证明书，委托人参加的附法人代表证明书和法人授权委托书）；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供应商资质1</w:t>
            </w:r>
          </w:p>
        </w:tc>
        <w:tc>
          <w:tcPr>
            <w:tcW w:type="dxa" w:w="3322"/>
          </w:tcPr>
          <w:p>
            <w:pPr>
              <w:pStyle w:val="null3"/>
            </w:pPr>
            <w:r>
              <w:rPr>
                <w:rFonts w:ascii="仿宋_GB2312" w:hAnsi="仿宋_GB2312" w:cs="仿宋_GB2312" w:eastAsia="仿宋_GB2312"/>
              </w:rPr>
              <w:t>供应商为生产厂家须提供合法有效的农药登记证、农药生产许可证或农药生产批准文件、农药标准证；供应商为经销商的须提供农药经营许可证及生产厂家的农药登记证、农药生产许可证或农药生产批准文件、农药标准证；供应商须提供所投产品的肥料登记证或农业农村部登记备案证明（供应商为经销商的提供加盖厂家公章的肥料登记证或备案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供应商资质2</w:t>
            </w:r>
          </w:p>
        </w:tc>
        <w:tc>
          <w:tcPr>
            <w:tcW w:type="dxa" w:w="3322"/>
          </w:tcPr>
          <w:p>
            <w:pPr>
              <w:pStyle w:val="null3"/>
            </w:pPr>
            <w:r>
              <w:rPr>
                <w:rFonts w:ascii="仿宋_GB2312" w:hAnsi="仿宋_GB2312" w:cs="仿宋_GB2312" w:eastAsia="仿宋_GB2312"/>
              </w:rPr>
              <w:t>供应商须具有《通用航空企业经营许可证》或《民用无人驾驶航空器运营合格证》，相关作业人员具有《植保无人机系统操作手合格证》；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提供2024年度或2025年度经审计的财务审计报告 (包括审计报告、资产负债表、利润表、现金流量表、所有者权益变动表及其附注，成立时间至开标时间不足一年的可提供成立后任意时段的资产负债表）或开标截止时间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税收和社保证明</w:t>
            </w:r>
          </w:p>
        </w:tc>
        <w:tc>
          <w:tcPr>
            <w:tcW w:type="dxa" w:w="3322"/>
          </w:tcPr>
          <w:p>
            <w:pPr>
              <w:pStyle w:val="null3"/>
            </w:pPr>
            <w:r>
              <w:rPr>
                <w:rFonts w:ascii="仿宋_GB2312" w:hAnsi="仿宋_GB2312" w:cs="仿宋_GB2312" w:eastAsia="仿宋_GB2312"/>
              </w:rPr>
              <w:t>提供2025年6月1日至投标截止日期内任意一个月的依法缴纳的税收（任意税种）和社保证明（社会保障资金缴存单据或社保机构开具的社会保险参保缴费情况证明）；依法免税或不需要缴纳社会保障资金的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重大违法记录的书面声明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设备和专业技术能力的书面声明</w:t>
            </w:r>
          </w:p>
        </w:tc>
        <w:tc>
          <w:tcPr>
            <w:tcW w:type="dxa" w:w="3322"/>
          </w:tcPr>
          <w:p>
            <w:pPr>
              <w:pStyle w:val="null3"/>
            </w:pPr>
            <w:r>
              <w:rPr>
                <w:rFonts w:ascii="仿宋_GB2312" w:hAnsi="仿宋_GB2312" w:cs="仿宋_GB2312" w:eastAsia="仿宋_GB2312"/>
              </w:rPr>
              <w:t>履行合同所必需的设备和专业技术能力的书面声明；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单位负责人为同一人或者存在直接控股、管理关系的不同供应商，不得参加同一合同项下的投标活动；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提供报名时间后的网页查询结果截图）；</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与营业执照及资质证书一致</w:t>
            </w:r>
          </w:p>
        </w:tc>
        <w:tc>
          <w:tcPr>
            <w:tcW w:type="dxa" w:w="1661"/>
          </w:tcPr>
          <w:p>
            <w:pPr>
              <w:pStyle w:val="null3"/>
            </w:pPr>
            <w:r>
              <w:rPr>
                <w:rFonts w:ascii="仿宋_GB2312" w:hAnsi="仿宋_GB2312" w:cs="仿宋_GB2312" w:eastAsia="仿宋_GB2312"/>
              </w:rPr>
              <w:t>响应文件封面 产品技术参数表 分项报价表.docx 供应商应提交的相关资格证明材料.docx 中小企业声明函 残疾人福利性单位声明函 商务应答表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响应文件封面 产品技术参数表 分项报价表.docx 供应商应提交的相关资格证明材料.docx 中小企业声明函 残疾人福利性单位声明函 商务应答表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投标报价唯一，未超过谈判文件中规定的采购预算或最高限价</w:t>
            </w:r>
          </w:p>
        </w:tc>
        <w:tc>
          <w:tcPr>
            <w:tcW w:type="dxa" w:w="1661"/>
          </w:tcPr>
          <w:p>
            <w:pPr>
              <w:pStyle w:val="null3"/>
            </w:pPr>
            <w:r>
              <w:rPr>
                <w:rFonts w:ascii="仿宋_GB2312" w:hAnsi="仿宋_GB2312" w:cs="仿宋_GB2312" w:eastAsia="仿宋_GB2312"/>
              </w:rPr>
              <w:t>响应文件封面 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满足谈判文件要求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服务内容</w:t>
            </w:r>
          </w:p>
        </w:tc>
        <w:tc>
          <w:tcPr>
            <w:tcW w:type="dxa" w:w="3322"/>
          </w:tcPr>
          <w:p>
            <w:pPr>
              <w:pStyle w:val="null3"/>
            </w:pPr>
            <w:r>
              <w:rPr>
                <w:rFonts w:ascii="仿宋_GB2312" w:hAnsi="仿宋_GB2312" w:cs="仿宋_GB2312" w:eastAsia="仿宋_GB2312"/>
              </w:rPr>
              <w:t>满足谈判文件要求</w:t>
            </w:r>
          </w:p>
        </w:tc>
        <w:tc>
          <w:tcPr>
            <w:tcW w:type="dxa" w:w="1661"/>
          </w:tcPr>
          <w:p>
            <w:pPr>
              <w:pStyle w:val="null3"/>
            </w:pPr>
            <w:r>
              <w:rPr>
                <w:rFonts w:ascii="仿宋_GB2312" w:hAnsi="仿宋_GB2312" w:cs="仿宋_GB2312" w:eastAsia="仿宋_GB2312"/>
              </w:rPr>
              <w:t>响应文件封面 产品技术参数表 分项报价表.docx 供应商应提交的相关资格证明材料.docx 中小企业声明函 残疾人福利性单位声明函 商务应答表 标的清单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