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版本号：政采-华阴市-2026-00030.1B120260403001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购买安保服务项目(二次)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政采-华阴市-2026-00030.1B1</w:t>
      </w:r>
      <w:r>
        <w:br/>
      </w:r>
      <w:r>
        <w:br/>
      </w:r>
      <w:r>
        <w:br/>
      </w:r>
    </w:p>
    <w:p>
      <w:pPr>
        <w:pStyle w:val="null3"/>
        <w:jc w:val="center"/>
        <w:outlineLvl w:val="2"/>
      </w:pPr>
      <w:r>
        <w:rPr>
          <w:rFonts w:ascii="仿宋_GB2312" w:hAnsi="仿宋_GB2312" w:cs="仿宋_GB2312" w:eastAsia="仿宋_GB2312"/>
          <w:sz w:val="28"/>
          <w:b/>
        </w:rPr>
        <w:t>华阴市人民医院</w:t>
      </w:r>
    </w:p>
    <w:p>
      <w:pPr>
        <w:pStyle w:val="null3"/>
        <w:jc w:val="center"/>
        <w:outlineLvl w:val="2"/>
      </w:pPr>
      <w:r>
        <w:rPr>
          <w:rFonts w:ascii="仿宋_GB2312" w:hAnsi="仿宋_GB2312" w:cs="仿宋_GB2312" w:eastAsia="仿宋_GB2312"/>
          <w:sz w:val="28"/>
          <w:b/>
        </w:rPr>
        <w:t>华阴市政府采购中心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华阴市政府采购中心</w:t>
      </w:r>
      <w:r>
        <w:rPr>
          <w:rFonts w:ascii="仿宋_GB2312" w:hAnsi="仿宋_GB2312" w:cs="仿宋_GB2312" w:eastAsia="仿宋_GB2312"/>
        </w:rPr>
        <w:t>（以下简称“代理机构”）受</w:t>
      </w:r>
      <w:r>
        <w:rPr>
          <w:rFonts w:ascii="仿宋_GB2312" w:hAnsi="仿宋_GB2312" w:cs="仿宋_GB2312" w:eastAsia="仿宋_GB2312"/>
        </w:rPr>
        <w:t>华阴市人民医院</w:t>
      </w:r>
      <w:r>
        <w:rPr>
          <w:rFonts w:ascii="仿宋_GB2312" w:hAnsi="仿宋_GB2312" w:cs="仿宋_GB2312" w:eastAsia="仿宋_GB2312"/>
        </w:rPr>
        <w:t>委托，拟对</w:t>
      </w:r>
      <w:r>
        <w:rPr>
          <w:rFonts w:ascii="仿宋_GB2312" w:hAnsi="仿宋_GB2312" w:cs="仿宋_GB2312" w:eastAsia="仿宋_GB2312"/>
        </w:rPr>
        <w:t>购买安保服务项目(二次)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政采-华阴市-2026-00030.1B1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购买安保服务项目(二次)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维护医院的正常医疗秩序，确保医院的诊疗环境安静、有序。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采购包1（购买安保服务项目）：属于专门面向中小企业采购。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3、税收缴纳证明：税收缴纳证明：提供2025年3至今任意一个月的缴纳凭据；（增值税、企业所得税至少提供一种，依法免税的投标人应提供相关文件证明）;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4、社会保障资金缴纳证明：社会保障资金缴纳证明：提供2025年9月至今任意一个月的社保缴纳凭据或社保机构开具的社会保险参保缴纳情况证明；（依法不需要缴纳社会保障资金的投标人应提供相关证明）;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2025年12月至今任意一个月在本单位的社保资金缴纳凭证）；法定代表人直接参加磋商提供法定代表人资格证明书（附法定代表人身份证复印件）；采购文件凡是法定代表人之处，非法人单位的负责人均参照执行； (式样见竞争性磋商响应文件格式).</w:t>
      </w:r>
    </w:p>
    <w:p>
      <w:pPr>
        <w:pStyle w:val="null3"/>
      </w:pPr>
      <w:r>
        <w:rPr>
          <w:rFonts w:ascii="仿宋_GB2312" w:hAnsi="仿宋_GB2312" w:cs="仿宋_GB2312" w:eastAsia="仿宋_GB2312"/>
        </w:rPr>
        <w:t>8、保安服务许可证：保安服务许可证;</w:t>
      </w:r>
    </w:p>
    <w:p>
      <w:pPr>
        <w:pStyle w:val="null3"/>
      </w:pPr>
      <w:r>
        <w:rPr>
          <w:rFonts w:ascii="仿宋_GB2312" w:hAnsi="仿宋_GB2312" w:cs="仿宋_GB2312" w:eastAsia="仿宋_GB2312"/>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响应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供应商，不得参加同一合同项下的政府采购活动。(根据财库【2019】38号文规定，此项在磋商响应截止日当天在“国家企业信用信息公示系统”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陕西省渭南市华阴市太华南路47号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李少鹏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0913-4612249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华阴市政府采购中心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华阴市东岳路华阴市财政局政府采购中心508室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杜军刚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0913-8373765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华阴市人民医院</w:t>
      </w:r>
      <w:r>
        <w:rPr>
          <w:rFonts w:ascii="仿宋_GB2312" w:hAnsi="仿宋_GB2312" w:cs="仿宋_GB2312" w:eastAsia="仿宋_GB2312"/>
        </w:rPr>
        <w:t>和</w:t>
      </w:r>
      <w:r>
        <w:rPr>
          <w:rFonts w:ascii="仿宋_GB2312" w:hAnsi="仿宋_GB2312" w:cs="仿宋_GB2312" w:eastAsia="仿宋_GB2312"/>
        </w:rPr>
        <w:t>华阴市政府采购中心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华阴市人民医院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华阴市政府采购中心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华阴市人民医院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华阴市政府采购中心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符合国家法律法规规定的标准、采购人要求、竞争性磋商文件和供应商竞争性磋商响应文件所要求的技术标准。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华阴市政府采购中心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华阴市政府采购中心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联系人：杜军刚</w:t>
      </w:r>
    </w:p>
    <w:p>
      <w:pPr>
        <w:pStyle w:val="null3"/>
      </w:pPr>
      <w:r>
        <w:rPr>
          <w:rFonts w:ascii="仿宋_GB2312" w:hAnsi="仿宋_GB2312" w:cs="仿宋_GB2312" w:eastAsia="仿宋_GB2312"/>
        </w:rPr>
        <w:t>联系电话：0913-8373765</w:t>
      </w:r>
    </w:p>
    <w:p>
      <w:pPr>
        <w:pStyle w:val="null3"/>
      </w:pPr>
      <w:r>
        <w:rPr>
          <w:rFonts w:ascii="仿宋_GB2312" w:hAnsi="仿宋_GB2312" w:cs="仿宋_GB2312" w:eastAsia="仿宋_GB2312"/>
        </w:rPr>
        <w:t>地址：华阴市东岳路华阴市财政局政府采购中心508室</w:t>
      </w:r>
    </w:p>
    <w:p>
      <w:pPr>
        <w:pStyle w:val="null3"/>
      </w:pPr>
      <w:r>
        <w:rPr>
          <w:rFonts w:ascii="仿宋_GB2312" w:hAnsi="仿宋_GB2312" w:cs="仿宋_GB2312" w:eastAsia="仿宋_GB2312"/>
        </w:rPr>
        <w:t>邮编：714299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维护医院的正常医疗秩序，确保医院的诊疗环境安静、有序。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785,040.00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安保服务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pPr>
            <w:r>
              <w:rPr>
                <w:rFonts w:ascii="仿宋_GB2312" w:hAnsi="仿宋_GB2312" w:cs="仿宋_GB2312" w:eastAsia="仿宋_GB2312"/>
              </w:rPr>
              <w:t>一、人员素质</w:t>
            </w:r>
          </w:p>
          <w:p>
            <w:pPr>
              <w:pStyle w:val="null3"/>
            </w:pPr>
            <w:r>
              <w:rPr>
                <w:rFonts w:ascii="仿宋_GB2312" w:hAnsi="仿宋_GB2312" w:cs="仿宋_GB2312" w:eastAsia="仿宋_GB2312"/>
              </w:rPr>
              <w:t>1、专业技能:保安需具备基本的安保技能，如熟练使用安保器材、掌握消防设备的操作方法等，以便在关键时刻有效应对各类突发事件。</w:t>
            </w:r>
          </w:p>
          <w:p>
            <w:pPr>
              <w:pStyle w:val="null3"/>
            </w:pPr>
            <w:r>
              <w:rPr>
                <w:rFonts w:ascii="仿宋_GB2312" w:hAnsi="仿宋_GB2312" w:cs="仿宋_GB2312" w:eastAsia="仿宋_GB2312"/>
              </w:rPr>
              <w:t>2、服务意识:要有良好的服务态度和沟通能力，能与医院的医护人员、患者及家属友好相处，耐心解答询问，提供必要的帮助。</w:t>
            </w:r>
          </w:p>
          <w:p>
            <w:pPr>
              <w:pStyle w:val="null3"/>
            </w:pPr>
            <w:r>
              <w:rPr>
                <w:rFonts w:ascii="仿宋_GB2312" w:hAnsi="仿宋_GB2312" w:cs="仿宋_GB2312" w:eastAsia="仿宋_GB2312"/>
              </w:rPr>
              <w:t>3、身体素质:身体健康，无传染性疾病，能够适应医院不同岗位的工作强度和工作时间要求，如长时间站立、巡逻等。</w:t>
            </w:r>
          </w:p>
          <w:p>
            <w:pPr>
              <w:pStyle w:val="null3"/>
            </w:pPr>
            <w:r>
              <w:rPr>
                <w:rFonts w:ascii="仿宋_GB2312" w:hAnsi="仿宋_GB2312" w:cs="仿宋_GB2312" w:eastAsia="仿宋_GB2312"/>
              </w:rPr>
              <w:t>4、年龄要求：保安年龄为18周岁以上，60周岁以下的健康中国公民，遵纪守法，无犯罪记录。</w:t>
            </w:r>
          </w:p>
          <w:p>
            <w:pPr>
              <w:pStyle w:val="null3"/>
            </w:pPr>
            <w:r>
              <w:rPr>
                <w:rFonts w:ascii="仿宋_GB2312" w:hAnsi="仿宋_GB2312" w:cs="仿宋_GB2312" w:eastAsia="仿宋_GB2312"/>
              </w:rPr>
              <w:t>二、人员配备</w:t>
            </w:r>
          </w:p>
          <w:p>
            <w:pPr>
              <w:pStyle w:val="null3"/>
            </w:pPr>
            <w:r>
              <w:rPr>
                <w:rFonts w:ascii="仿宋_GB2312" w:hAnsi="仿宋_GB2312" w:cs="仿宋_GB2312" w:eastAsia="仿宋_GB2312"/>
              </w:rPr>
              <w:t>1、数量充足:根据医院的规模、科室分布、人流量等因素，配备保安28人，确保医院各区域的安全保卫工作无死角。</w:t>
            </w:r>
          </w:p>
          <w:p>
            <w:pPr>
              <w:pStyle w:val="null3"/>
            </w:pPr>
            <w:r>
              <w:rPr>
                <w:rFonts w:ascii="仿宋_GB2312" w:hAnsi="仿宋_GB2312" w:cs="仿宋_GB2312" w:eastAsia="仿宋_GB2312"/>
              </w:rPr>
              <w:t>2、合理排班:能制定科学合理的排班计划，保证医院24小时都有安保人员在岗，重要时段和重点区域要加强人员部署。</w:t>
            </w:r>
          </w:p>
          <w:p>
            <w:pPr>
              <w:pStyle w:val="null3"/>
            </w:pPr>
            <w:r>
              <w:rPr>
                <w:rFonts w:ascii="仿宋_GB2312" w:hAnsi="仿宋_GB2312" w:cs="仿宋_GB2312" w:eastAsia="仿宋_GB2312"/>
              </w:rPr>
              <w:t>三、培训管理</w:t>
            </w:r>
          </w:p>
          <w:p>
            <w:pPr>
              <w:pStyle w:val="null3"/>
            </w:pPr>
            <w:r>
              <w:rPr>
                <w:rFonts w:ascii="仿宋_GB2312" w:hAnsi="仿宋_GB2312" w:cs="仿宋_GB2312" w:eastAsia="仿宋_GB2312"/>
              </w:rPr>
              <w:t>1、专业培训:定期组织保安人员参加专业培训，内容涵盖安全防范知识、应急处置技能、职业道德规范等，不断提升保安人员的综合素质和业务能力。</w:t>
            </w:r>
          </w:p>
          <w:p>
            <w:pPr>
              <w:pStyle w:val="null3"/>
            </w:pPr>
            <w:r>
              <w:rPr>
                <w:rFonts w:ascii="仿宋_GB2312" w:hAnsi="仿宋_GB2312" w:cs="仿宋_GB2312" w:eastAsia="仿宋_GB2312"/>
              </w:rPr>
              <w:t>2、日常管理:建立健全保安人员的日常管理制度，包括考勤管理、考核评价、奖惩机制等，加强对保安人员的监督和管理，确保其严格遵守医院的各项规章制度。</w:t>
            </w:r>
          </w:p>
          <w:p>
            <w:pPr>
              <w:pStyle w:val="null3"/>
            </w:pPr>
            <w:r>
              <w:rPr>
                <w:rFonts w:ascii="仿宋_GB2312" w:hAnsi="仿宋_GB2312" w:cs="仿宋_GB2312" w:eastAsia="仿宋_GB2312"/>
              </w:rPr>
              <w:t>四、服务质量</w:t>
            </w:r>
          </w:p>
          <w:p>
            <w:pPr>
              <w:pStyle w:val="null3"/>
            </w:pPr>
            <w:r>
              <w:rPr>
                <w:rFonts w:ascii="仿宋_GB2312" w:hAnsi="仿宋_GB2312" w:cs="仿宋_GB2312" w:eastAsia="仿宋_GB2312"/>
              </w:rPr>
              <w:t>1、安全保障:制定完善的安全保卫方案和应急预案，能够有效预防和及时处理各类安全事故和突发事件，如火灾、盗窃、医闹等，确保医院的人员和财产安全。</w:t>
            </w:r>
          </w:p>
          <w:p>
            <w:pPr>
              <w:pStyle w:val="null3"/>
            </w:pPr>
            <w:r>
              <w:rPr>
                <w:rFonts w:ascii="仿宋_GB2312" w:hAnsi="仿宋_GB2312" w:cs="仿宋_GB2312" w:eastAsia="仿宋_GB2312"/>
              </w:rPr>
              <w:t>2、秩序维护:维护医院的正常医疗秩序，包括门诊大厅、病房区、停车场等区域的人员和车辆秩序，确保医院的诊疗环境安静、有序。</w:t>
            </w:r>
          </w:p>
          <w:p>
            <w:pPr>
              <w:pStyle w:val="null3"/>
            </w:pPr>
            <w:r>
              <w:rPr>
                <w:rFonts w:ascii="仿宋_GB2312" w:hAnsi="仿宋_GB2312" w:cs="仿宋_GB2312" w:eastAsia="仿宋_GB2312"/>
              </w:rPr>
              <w:t>五、保险保障</w:t>
            </w:r>
          </w:p>
          <w:p>
            <w:pPr>
              <w:pStyle w:val="null3"/>
            </w:pPr>
            <w:r>
              <w:rPr>
                <w:rFonts w:ascii="仿宋_GB2312" w:hAnsi="仿宋_GB2312" w:cs="仿宋_GB2312" w:eastAsia="仿宋_GB2312"/>
              </w:rPr>
              <w:t>购买保险:为保安人员购买足额的人身意外伤害保险等相关保险，降低医院在使用安保服务过程中的风险和责任。</w:t>
            </w:r>
          </w:p>
          <w:p>
            <w:pPr>
              <w:pStyle w:val="null3"/>
            </w:pPr>
            <w:r>
              <w:rPr>
                <w:rFonts w:ascii="仿宋_GB2312" w:hAnsi="仿宋_GB2312" w:cs="仿宋_GB2312" w:eastAsia="仿宋_GB2312"/>
              </w:rPr>
              <w:t>注：服务内容为实质性要求，不得负偏离。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根据项目需求进行配备。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根据项目需求进行配备。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华阴市人民医院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符合地方、行业相关标准。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按月支付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磋商响应文件。纸质磋商响应文件采用书籍（胶装）方式装订成册，与电子响应文件一致的签字、盖章的完整版本（正本为红章）。2、本项目最高限价785040.00元，供应商在报价时不得超过此限价。3、根据《关于推动解决政府采购异常低价问题的通知》（财库〔2026〕2号）强化政府采购异常低价审查: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相关法律法规对供应商报价有规定的，从其规定。（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供应商需在项目电子化交易系统中按要求上传相应证明文件并进行电子签章，比项审查内容与“控股关系查询”为同一审查内容。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税收缴纳证明：提供2025年3至今任意一个月的缴纳凭据；（增值税、企业所得税至少提供一种，依法免税的投标人应提供相关文件证明）;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社会保障资金缴纳证明：提供2025年9月至今任意一个月的社保缴纳凭据或社保机构开具的社会保险参保缴纳情况证明；（依法不需要缴纳社会保障资金的投标人应提供相关证明）;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2025年12月至今任意一个月在本单位的社保资金缴纳凭证）；法定代表人直接参加磋商提供法定代表人资格证明书（附法定代表人身份证复印件）；采购文件凡是法定代表人之处，非法人单位的负责人均参照执行； (式样见竞争性磋商响应文件格式).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保安服务许可证</w:t>
            </w:r>
          </w:p>
        </w:tc>
        <w:tc>
          <w:tcPr>
            <w:tcW w:type="dxa" w:w="3322"/>
          </w:tcPr>
          <w:p>
            <w:pPr>
              <w:pStyle w:val="null3"/>
            </w:pPr>
            <w:r>
              <w:rPr>
                <w:rFonts w:ascii="仿宋_GB2312" w:hAnsi="仿宋_GB2312" w:cs="仿宋_GB2312" w:eastAsia="仿宋_GB2312"/>
              </w:rPr>
              <w:t>保安服务许可证;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响应截止日当天在“国家企业信用信息公示系统”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除明确允许供应商可以自行编写的外，磋商响应文件是否按照磋商文件给定的格式和要求编制</w:t>
            </w:r>
          </w:p>
        </w:tc>
        <w:tc>
          <w:tcPr>
            <w:tcW w:type="dxa" w:w="1661"/>
          </w:tcPr>
          <w:p>
            <w:pPr>
              <w:pStyle w:val="null3"/>
            </w:pPr>
            <w:r>
              <w:rPr>
                <w:rFonts w:ascii="仿宋_GB2312" w:hAnsi="仿宋_GB2312" w:cs="仿宋_GB2312" w:eastAsia="仿宋_GB2312"/>
              </w:rPr>
              <w:t>响应文件封面 拒绝政府采购领域商业贿赂承诺书.docx 中小企业声明函 标的清单 商务条款响应偏离表.docx 响应函 法定代表人授权委托书.docx 服务条款响应偏离表.docx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响应文件封面 中小企业声明函 残疾人福利性单位声明函 拒绝政府采购领域商业贿赂承诺书.docx 标的清单 商务条款响应偏离表.docx 分项报价.docx 供应商认为有必要说明的事宜.docx 响应函 法定代表人授权委托书.docx 服务条款响应偏离表.docx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磋商有效期符合磋商文件的要求</w:t>
            </w:r>
          </w:p>
        </w:tc>
        <w:tc>
          <w:tcPr>
            <w:tcW w:type="dxa" w:w="1661"/>
          </w:tcPr>
          <w:p>
            <w:pPr>
              <w:pStyle w:val="null3"/>
            </w:pPr>
            <w:r>
              <w:rPr>
                <w:rFonts w:ascii="仿宋_GB2312" w:hAnsi="仿宋_GB2312" w:cs="仿宋_GB2312" w:eastAsia="仿宋_GB2312"/>
              </w:rPr>
              <w:t>响应文件封面 响应函 法定代表人授权委托书.docx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各供应商报价未超过最高限价。</w:t>
            </w:r>
          </w:p>
        </w:tc>
        <w:tc>
          <w:tcPr>
            <w:tcW w:type="dxa" w:w="1661"/>
          </w:tcPr>
          <w:p>
            <w:pPr>
              <w:pStyle w:val="null3"/>
            </w:pPr>
            <w:r>
              <w:rPr>
                <w:rFonts w:ascii="仿宋_GB2312" w:hAnsi="仿宋_GB2312" w:cs="仿宋_GB2312" w:eastAsia="仿宋_GB2312"/>
              </w:rPr>
              <w:t>响应文件封面 标的清单 分项报价.docx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是否对磋商文件技术、商务要求作出明确响应，对不得偏离的要求是否作出实质性响应</w:t>
            </w:r>
          </w:p>
        </w:tc>
        <w:tc>
          <w:tcPr>
            <w:tcW w:type="dxa" w:w="3322"/>
          </w:tcPr>
          <w:p>
            <w:pPr>
              <w:pStyle w:val="null3"/>
            </w:pPr>
            <w:r>
              <w:rPr>
                <w:rFonts w:ascii="仿宋_GB2312" w:hAnsi="仿宋_GB2312" w:cs="仿宋_GB2312" w:eastAsia="仿宋_GB2312"/>
              </w:rPr>
              <w:t>是否对磋商文件技术、商务要求作出明确响应，对不得偏离的要求是否作出实质性响应</w:t>
            </w:r>
          </w:p>
        </w:tc>
        <w:tc>
          <w:tcPr>
            <w:tcW w:type="dxa" w:w="1661"/>
          </w:tcPr>
          <w:p>
            <w:pPr>
              <w:pStyle w:val="null3"/>
            </w:pPr>
            <w:r>
              <w:rPr>
                <w:rFonts w:ascii="仿宋_GB2312" w:hAnsi="仿宋_GB2312" w:cs="仿宋_GB2312" w:eastAsia="仿宋_GB2312"/>
              </w:rPr>
              <w:t>响应文件封面 商务条款响应偏离表.docx 服务条款响应偏离表.docx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磋商响应文件无采购人不能接受的附加条件</w:t>
            </w:r>
          </w:p>
        </w:tc>
        <w:tc>
          <w:tcPr>
            <w:tcW w:type="dxa" w:w="3322"/>
          </w:tcPr>
          <w:p>
            <w:pPr>
              <w:pStyle w:val="null3"/>
            </w:pPr>
            <w:r>
              <w:rPr>
                <w:rFonts w:ascii="仿宋_GB2312" w:hAnsi="仿宋_GB2312" w:cs="仿宋_GB2312" w:eastAsia="仿宋_GB2312"/>
              </w:rPr>
              <w:t>磋商响应文件无采购人不能接受的附加条件</w:t>
            </w:r>
          </w:p>
        </w:tc>
        <w:tc>
          <w:tcPr>
            <w:tcW w:type="dxa" w:w="1661"/>
          </w:tcPr>
          <w:p>
            <w:pPr>
              <w:pStyle w:val="null3"/>
            </w:pPr>
            <w:r>
              <w:rPr>
                <w:rFonts w:ascii="仿宋_GB2312" w:hAnsi="仿宋_GB2312" w:cs="仿宋_GB2312" w:eastAsia="仿宋_GB2312"/>
              </w:rPr>
              <w:t>响应文件封面 供应商认为有必要说明的事宜.docx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是否有法律、法规和磋商文件规定的其他无效投标情形</w:t>
            </w:r>
          </w:p>
        </w:tc>
        <w:tc>
          <w:tcPr>
            <w:tcW w:type="dxa" w:w="3322"/>
          </w:tcPr>
          <w:p>
            <w:pPr>
              <w:pStyle w:val="null3"/>
            </w:pPr>
            <w:r>
              <w:rPr>
                <w:rFonts w:ascii="仿宋_GB2312" w:hAnsi="仿宋_GB2312" w:cs="仿宋_GB2312" w:eastAsia="仿宋_GB2312"/>
              </w:rPr>
              <w:t>无法律、法规和磋商文件规定的其他无效投标情形</w:t>
            </w:r>
          </w:p>
        </w:tc>
        <w:tc>
          <w:tcPr>
            <w:tcW w:type="dxa" w:w="1661"/>
          </w:tcPr>
          <w:p>
            <w:pPr>
              <w:pStyle w:val="null3"/>
            </w:pPr>
            <w:r>
              <w:rPr>
                <w:rFonts w:ascii="仿宋_GB2312" w:hAnsi="仿宋_GB2312" w:cs="仿宋_GB2312" w:eastAsia="仿宋_GB2312"/>
              </w:rPr>
              <w:t>响应文件封面 供应商认为有必要说明的事宜.docx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评审得分相同的，则依次比较报价得分，项目服务实施方案得分，以得分高的排序在先。</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项目服务实施方案1</w:t>
            </w:r>
          </w:p>
        </w:tc>
        <w:tc>
          <w:tcPr>
            <w:tcW w:type="dxa" w:w="2492"/>
          </w:tcPr>
          <w:p>
            <w:pPr>
              <w:pStyle w:val="null3"/>
            </w:pPr>
            <w:r>
              <w:rPr>
                <w:rFonts w:ascii="仿宋_GB2312" w:hAnsi="仿宋_GB2312" w:cs="仿宋_GB2312" w:eastAsia="仿宋_GB2312"/>
              </w:rPr>
              <w:t>整体服务方案包括但不限于：服务理念、服务管理目标、服务整体计划、人员管理制度、文明服务与形象管理等； 评审标准：内容全面详细、阐述条理清晰、逻辑清晰、具有针对性、合理可行得10分。每有一项缺项扣2分，每有一处内容存在缺陷扣1分，扣完为止，未提供相关内容本项不计分。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项目服务实施方案2</w:t>
            </w:r>
          </w:p>
        </w:tc>
        <w:tc>
          <w:tcPr>
            <w:tcW w:type="dxa" w:w="2492"/>
          </w:tcPr>
          <w:p>
            <w:pPr>
              <w:pStyle w:val="null3"/>
            </w:pPr>
            <w:r>
              <w:rPr>
                <w:rFonts w:ascii="仿宋_GB2312" w:hAnsi="仿宋_GB2312" w:cs="仿宋_GB2312" w:eastAsia="仿宋_GB2312"/>
              </w:rPr>
              <w:t>公共秩序维护方案，包括但不限于执勤制度、安全保卫措施、巡查措施、工作交接制度、人员疏散方案等； 评审标准：内容全面详细、阐述条理清晰、逻辑清晰、具有针对性、合理可行得10分。每有一项缺项扣2分，每有一处内容存在缺陷扣1分，扣完为止，未提供相关内容本项不计分。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项目服务实施方案3</w:t>
            </w:r>
          </w:p>
        </w:tc>
        <w:tc>
          <w:tcPr>
            <w:tcW w:type="dxa" w:w="2492"/>
          </w:tcPr>
          <w:p>
            <w:pPr>
              <w:pStyle w:val="null3"/>
            </w:pPr>
            <w:r>
              <w:rPr>
                <w:rFonts w:ascii="仿宋_GB2312" w:hAnsi="仿宋_GB2312" w:cs="仿宋_GB2312" w:eastAsia="仿宋_GB2312"/>
              </w:rPr>
              <w:t>消防安全管理方案，包括但不限于消防制度、消防宣传、消防方式、消防消防器械的管理及消防器械的养护； 评审标准：内容全面详细、阐述条理清晰、逻辑清晰、具有针对性、合理可行得8分。每有一项缺项扣2分，每有一处内容存在缺陷扣1分，扣完为止，未提供相关内容本项不计分。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项目服务实施方案4</w:t>
            </w:r>
          </w:p>
        </w:tc>
        <w:tc>
          <w:tcPr>
            <w:tcW w:type="dxa" w:w="2492"/>
          </w:tcPr>
          <w:p>
            <w:pPr>
              <w:pStyle w:val="null3"/>
            </w:pPr>
            <w:r>
              <w:rPr>
                <w:rFonts w:ascii="仿宋_GB2312" w:hAnsi="仿宋_GB2312" w:cs="仿宋_GB2312" w:eastAsia="仿宋_GB2312"/>
              </w:rPr>
              <w:t>突发事件处理方案，包括但不限于突发事件应急响应预案、突发事件处理原则、突发事件处理方案、突发事件处置流程、快速反应的保障措施等； 评审标准：内容全面详细、阐述条理清晰、逻辑清晰、具有针对性、合理可行得10分。每有一项缺项扣2分，每有一处内容存在缺陷扣1分，扣完为止，未提供相关内容本项不计分。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项目服务实施方案5</w:t>
            </w:r>
          </w:p>
        </w:tc>
        <w:tc>
          <w:tcPr>
            <w:tcW w:type="dxa" w:w="2492"/>
          </w:tcPr>
          <w:p>
            <w:pPr>
              <w:pStyle w:val="null3"/>
            </w:pPr>
            <w:r>
              <w:rPr>
                <w:rFonts w:ascii="仿宋_GB2312" w:hAnsi="仿宋_GB2312" w:cs="仿宋_GB2312" w:eastAsia="仿宋_GB2312"/>
              </w:rPr>
              <w:t>人员管理方案，包括但不限于组织架构、人员管理方案、人员配备方案、人员来源情况、各岗位具体服务方案、人员的奖惩制度等； 评审标准：内容全面详细、阐述条理清晰、逻辑清晰、具有针对性、合理可行得12分。每有一项缺项扣2分，每有一处内容存在缺陷扣1分，扣完为止，未提供相关内容本项不计分。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项目服务实施方案6</w:t>
            </w:r>
          </w:p>
        </w:tc>
        <w:tc>
          <w:tcPr>
            <w:tcW w:type="dxa" w:w="2492"/>
          </w:tcPr>
          <w:p>
            <w:pPr>
              <w:pStyle w:val="null3"/>
            </w:pPr>
            <w:r>
              <w:rPr>
                <w:rFonts w:ascii="仿宋_GB2312" w:hAnsi="仿宋_GB2312" w:cs="仿宋_GB2312" w:eastAsia="仿宋_GB2312"/>
              </w:rPr>
              <w:t>人员培训方案，包括但不限于培训目标及内容、培训方式、培训计划、培训人员及培训地点等； 评审标准：内容全面详细、阐述条理清晰、逻辑清晰、具有针对性、合理可行得8分。每有一项缺项扣2分，每有一处内容存在缺陷扣1分，扣完为止，未提供相关内容本项不计分。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项目服务实施方案7</w:t>
            </w:r>
          </w:p>
        </w:tc>
        <w:tc>
          <w:tcPr>
            <w:tcW w:type="dxa" w:w="2492"/>
          </w:tcPr>
          <w:p>
            <w:pPr>
              <w:pStyle w:val="null3"/>
            </w:pPr>
            <w:r>
              <w:rPr>
                <w:rFonts w:ascii="仿宋_GB2312" w:hAnsi="仿宋_GB2312" w:cs="仿宋_GB2312" w:eastAsia="仿宋_GB2312"/>
              </w:rPr>
              <w:t>保安人员上岗应当统一着装；配置个人装备及相关安保器械；执勤装备、服装（冬夏等）；拟投入的主要物资、设备等是否符合采购人服务项目的实际情况；承诺投入的主要物资、设备”的保养、维修，备品备件耗材等费用由投标人自行承担。 评审标准：内容全面详细、阐述条理清晰、逻辑清晰、具有针对性、合理可行得12分。每有一项缺项扣3分，每有一处内容存在缺陷扣1分，扣完为止，未提供相关内容本项不计分。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项目服务实施方案8</w:t>
            </w:r>
          </w:p>
        </w:tc>
        <w:tc>
          <w:tcPr>
            <w:tcW w:type="dxa" w:w="2492"/>
          </w:tcPr>
          <w:p>
            <w:pPr>
              <w:pStyle w:val="null3"/>
            </w:pPr>
            <w:r>
              <w:rPr>
                <w:rFonts w:ascii="仿宋_GB2312" w:hAnsi="仿宋_GB2312" w:cs="仿宋_GB2312" w:eastAsia="仿宋_GB2312"/>
              </w:rPr>
              <w:t>服务质量保证措施，包括但不限于：组织管理保障、人员管理保障、质量监督检查保障、客户服务与沟通保障、装备与物资保障等。 评审标准：内容全面详细、阐述条理清晰、逻辑清晰、具有针对性、合理可行得10分。每有一项缺项扣2分，每有一处内容存在缺陷扣1分，扣完为止，未提供相关内容本项不计分。 备注：缺陷是指内容不合理、与内容有较大偏差的、内容仅有粗略表述不具体、内容表述前后不一致、套用其他项目方案或与项目需求不匹配及其他不利于项目实施等任意一种情形。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保安队长</w:t>
            </w:r>
          </w:p>
        </w:tc>
        <w:tc>
          <w:tcPr>
            <w:tcW w:type="dxa" w:w="2492"/>
          </w:tcPr>
          <w:p>
            <w:pPr>
              <w:pStyle w:val="null3"/>
            </w:pPr>
            <w:r>
              <w:rPr>
                <w:rFonts w:ascii="仿宋_GB2312" w:hAnsi="仿宋_GB2312" w:cs="仿宋_GB2312" w:eastAsia="仿宋_GB2312"/>
              </w:rPr>
              <w:t>大专或以上学历并同时具有退伍军人证书或退役军人优待证的计4分。提供相关证明材料，不提供或提供不全的均不计分。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保安队长.docx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以完整的合同形式提供供应商2023年1月至今同类项目业绩（以签订时间为准），每份计1分，计满6分为止。合同不完整的或模糊不清的均不计分。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即满足磋商文件要求且磋商价格最低的磋商报价为评标基准价，其价格分为满分。其他供应商的价格分统一按照下列公式计算： 磋商报价得分=(磋商基准价／磋商报价)×价格权值（即10%）×100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详见附件：保安队长.docx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详见附件：供应商认为有必要说明的事宜.docx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