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版本号：SXZYXM2026-1520260408001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渭南市华阴市2025年3万亩高标准农田新建项目科技配套</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SXZYXM2026-15</w:t>
      </w:r>
      <w:r>
        <w:br/>
      </w:r>
      <w:r>
        <w:br/>
      </w:r>
      <w:r>
        <w:br/>
      </w:r>
    </w:p>
    <w:p>
      <w:pPr>
        <w:pStyle w:val="null3"/>
        <w:jc w:val="center"/>
        <w:outlineLvl w:val="2"/>
      </w:pPr>
      <w:r>
        <w:rPr>
          <w:rFonts w:ascii="仿宋_GB2312" w:hAnsi="仿宋_GB2312" w:cs="仿宋_GB2312" w:eastAsia="仿宋_GB2312"/>
          <w:sz w:val="28"/>
          <w:b/>
        </w:rPr>
        <w:t>华阴市农业农村局</w:t>
      </w:r>
    </w:p>
    <w:p>
      <w:pPr>
        <w:pStyle w:val="null3"/>
        <w:jc w:val="center"/>
        <w:outlineLvl w:val="2"/>
      </w:pPr>
      <w:r>
        <w:rPr>
          <w:rFonts w:ascii="仿宋_GB2312" w:hAnsi="仿宋_GB2312" w:cs="仿宋_GB2312" w:eastAsia="仿宋_GB2312"/>
          <w:sz w:val="28"/>
          <w:b/>
        </w:rPr>
        <w:t>陕西正园工程项目管理有限公司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陕西正园工程项目管理有限公司</w:t>
      </w:r>
      <w:r>
        <w:rPr>
          <w:rFonts w:ascii="仿宋_GB2312" w:hAnsi="仿宋_GB2312" w:cs="仿宋_GB2312" w:eastAsia="仿宋_GB2312"/>
        </w:rPr>
        <w:t>（以下简称“代理机构”）受</w:t>
      </w:r>
      <w:r>
        <w:rPr>
          <w:rFonts w:ascii="仿宋_GB2312" w:hAnsi="仿宋_GB2312" w:cs="仿宋_GB2312" w:eastAsia="仿宋_GB2312"/>
        </w:rPr>
        <w:t>华阴市农业农村局</w:t>
      </w:r>
      <w:r>
        <w:rPr>
          <w:rFonts w:ascii="仿宋_GB2312" w:hAnsi="仿宋_GB2312" w:cs="仿宋_GB2312" w:eastAsia="仿宋_GB2312"/>
        </w:rPr>
        <w:t>委托，拟对</w:t>
      </w:r>
      <w:r>
        <w:rPr>
          <w:rFonts w:ascii="仿宋_GB2312" w:hAnsi="仿宋_GB2312" w:cs="仿宋_GB2312" w:eastAsia="仿宋_GB2312"/>
        </w:rPr>
        <w:t>渭南市华阴市2025年3万亩高标准农田新建项目科技配套</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SXZYXM2026-15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渭南市华阴市2025年3万亩高标准农田新建项目科技配套</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采购配套物联网智能化系统1套，卷盘式喷灌机23台；水肥一体机13台。</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1、营业执照等主体资格证明文件：投标人应具有独立承担民事责任的能力且具备向采购人提供企业法人、其他组织,企业法人应提供统一社会信用代码的营业执照；其他组织应提供合法证明文件；</w:t>
      </w:r>
    </w:p>
    <w:p>
      <w:pPr>
        <w:pStyle w:val="null3"/>
      </w:pPr>
      <w:r>
        <w:rPr>
          <w:rFonts w:ascii="仿宋_GB2312" w:hAnsi="仿宋_GB2312" w:cs="仿宋_GB2312" w:eastAsia="仿宋_GB2312"/>
        </w:rPr>
        <w:t>2、财务报告：提供2024或2025年度经审计的财务报告（包括但不限于审计报告、资产负债表、利润表、现金流量表、所有者权益变动表及财务报表附注等内容，成立时间至提交响应文件截止时间不足一年的可提供成立后任意时段的资产负债表）或开标前六个月内其基本账户银行出具的资信证明或信用担保函，以上三种方式投标人任选其一进行提供；</w:t>
      </w:r>
    </w:p>
    <w:p>
      <w:pPr>
        <w:pStyle w:val="null3"/>
      </w:pPr>
      <w:r>
        <w:rPr>
          <w:rFonts w:ascii="仿宋_GB2312" w:hAnsi="仿宋_GB2312" w:cs="仿宋_GB2312" w:eastAsia="仿宋_GB2312"/>
        </w:rPr>
        <w:t>3、税收缴纳证明：提供递交截止时间前6个月内任意一个月的缴费凭据，依法免税的单位应提供相关证明材料；</w:t>
      </w:r>
    </w:p>
    <w:p>
      <w:pPr>
        <w:pStyle w:val="null3"/>
      </w:pPr>
      <w:r>
        <w:rPr>
          <w:rFonts w:ascii="仿宋_GB2312" w:hAnsi="仿宋_GB2312" w:cs="仿宋_GB2312" w:eastAsia="仿宋_GB2312"/>
        </w:rPr>
        <w:t>4、社会保障资金缴纳证明：提供递交截止时间前6个月内任意一个月的社会保障资金缴存单据或社保机构开具的社会保险参保缴费情况证明，依法不需要缴纳社会保障资金的单位应提供相关证明材料；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5、具有履行合同所必需的设备和专业技术能力：具有履行合同所必需的设备和专业技术能力，提供承诺书。</w:t>
      </w:r>
    </w:p>
    <w:p>
      <w:pPr>
        <w:pStyle w:val="null3"/>
      </w:pPr>
      <w:r>
        <w:rPr>
          <w:rFonts w:ascii="仿宋_GB2312" w:hAnsi="仿宋_GB2312" w:cs="仿宋_GB2312" w:eastAsia="仿宋_GB2312"/>
        </w:rPr>
        <w:t>6、参加政府采购活动前三年内，在经营活动中没有重大违法记录：提供参加政府采购活动前3年内在经营活动中没有重大违法记录的书面声明；</w:t>
      </w:r>
    </w:p>
    <w:p>
      <w:pPr>
        <w:pStyle w:val="null3"/>
      </w:pPr>
      <w:r>
        <w:rPr>
          <w:rFonts w:ascii="仿宋_GB2312" w:hAnsi="仿宋_GB2312" w:cs="仿宋_GB2312" w:eastAsia="仿宋_GB2312"/>
        </w:rPr>
        <w:t>7、投标人授权合法的人员参加投标全过程：投标人授权合法的人员参加投标全过程：法定代表人授权委托书（附法定代表人身份证复印件）及被授权委托人身份证（法定代表人参加投标只须提供法定代表人身份证）及授权代表身份证及被授权人开标前六个月内任意一个月在本单位的社保缴纳证明</w:t>
      </w:r>
    </w:p>
    <w:p>
      <w:pPr>
        <w:pStyle w:val="null3"/>
      </w:pPr>
      <w:r>
        <w:rPr>
          <w:rFonts w:ascii="仿宋_GB2312" w:hAnsi="仿宋_GB2312" w:cs="仿宋_GB2312" w:eastAsia="仿宋_GB2312"/>
        </w:rPr>
        <w:t>8、信用记录：未被列入“信用中国”网站记录的“失信被执行人”或“重大税收违法案件当事人”名单；不得为“中国政府采购网”记录的“政府采购严重违法失信行为记录名单”，提供网页截图，代理机构将对信用记录现场进行查询。（以评审现场查询记录为准）。</w:t>
      </w:r>
    </w:p>
    <w:p>
      <w:pPr>
        <w:pStyle w:val="null3"/>
      </w:pPr>
      <w:r>
        <w:rPr>
          <w:rFonts w:ascii="仿宋_GB2312" w:hAnsi="仿宋_GB2312" w:cs="仿宋_GB2312" w:eastAsia="仿宋_GB2312"/>
        </w:rPr>
        <w:t>9、投标承诺：单位负责人为同一人或者存在直接控股、管理关系的不同投标人，不得参加同一合同项下的政府采购活动（提供控股管理关系清单）</w:t>
      </w:r>
    </w:p>
    <w:p>
      <w:pPr>
        <w:pStyle w:val="null3"/>
      </w:pPr>
      <w:r>
        <w:rPr>
          <w:rFonts w:ascii="仿宋_GB2312" w:hAnsi="仿宋_GB2312" w:cs="仿宋_GB2312" w:eastAsia="仿宋_GB2312"/>
        </w:rPr>
        <w:t>10、非联合体投标：提供非联合体投标声明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华阴市农业农村局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华阴市环城北路46号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华阴市农业局经办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0913-4612433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陕西正园工程项目管理有限公司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西安市曲江新区雁翔路旺座曲江L座1506室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钮依宁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029-89557177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华阴市政府采购管理股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华阴市政府采购管理股</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13759656664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采购包1：3,425,149.26元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数据工作站中配置的台式计算机</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开户名称：陕西正园工程项目管理有限公司</w:t>
            </w:r>
          </w:p>
          <w:p>
            <w:pPr>
              <w:pStyle w:val="null3"/>
            </w:pPr>
            <w:r>
              <w:rPr>
                <w:rFonts w:ascii="仿宋_GB2312" w:hAnsi="仿宋_GB2312" w:cs="仿宋_GB2312" w:eastAsia="仿宋_GB2312"/>
              </w:rPr>
              <w:t>开户银行：上海浦东发展银行股份有限公司西安金滹沱一路支行</w:t>
            </w:r>
          </w:p>
          <w:p>
            <w:pPr>
              <w:pStyle w:val="null3"/>
            </w:pPr>
            <w:r>
              <w:rPr>
                <w:rFonts w:ascii="仿宋_GB2312" w:hAnsi="仿宋_GB2312" w:cs="仿宋_GB2312" w:eastAsia="仿宋_GB2312"/>
              </w:rPr>
              <w:t>银行账号：72190078801000001349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本采购包履约保证金为合同金额的2%</w:t>
            </w:r>
          </w:p>
          <w:p>
            <w:pPr>
              <w:pStyle w:val="null3"/>
            </w:pPr>
            <w:r>
              <w:rPr>
                <w:rFonts w:ascii="仿宋_GB2312" w:hAnsi="仿宋_GB2312" w:cs="仿宋_GB2312" w:eastAsia="仿宋_GB2312"/>
              </w:rPr>
              <w:t>说明：合同签订之前,按照招标文件的要求提交</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代理服务费收费标准：本采购项目代理服务费参照国家计委颁发的《招标代理服务收费管理暂行办法》(计价格[2002]1980号)规定，由中标人向采购代理机构一次付清招标代理服务费。 代理费用由投标人自行考虑包含在投标报价中，费用可不单列。 供应商需要办理完税发票（招标代理服务费）的，须在招标代理服务费缴纳之日起90日内换领，逾期不予办理。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华阴市农业农村局</w:t>
      </w:r>
      <w:r>
        <w:rPr>
          <w:rFonts w:ascii="仿宋_GB2312" w:hAnsi="仿宋_GB2312" w:cs="仿宋_GB2312" w:eastAsia="仿宋_GB2312"/>
        </w:rPr>
        <w:t>和</w:t>
      </w:r>
      <w:r>
        <w:rPr>
          <w:rFonts w:ascii="仿宋_GB2312" w:hAnsi="仿宋_GB2312" w:cs="仿宋_GB2312" w:eastAsia="仿宋_GB2312"/>
        </w:rPr>
        <w:t>陕西正园工程项目管理有限公司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华阴市农业农村局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陕西正园工程项目管理有限公司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华阴市农业农村局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陕西正园工程项目管理有限公司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按相关规范要求执行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陕西正园工程项目管理有限公司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陕西正园工程项目管理有限公司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陕西正园工程项目管理有限公司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联系人：钮依宁</w:t>
      </w:r>
    </w:p>
    <w:p>
      <w:pPr>
        <w:pStyle w:val="null3"/>
      </w:pPr>
      <w:r>
        <w:rPr>
          <w:rFonts w:ascii="仿宋_GB2312" w:hAnsi="仿宋_GB2312" w:cs="仿宋_GB2312" w:eastAsia="仿宋_GB2312"/>
        </w:rPr>
        <w:t>联系电话：029-89557177</w:t>
      </w:r>
    </w:p>
    <w:p>
      <w:pPr>
        <w:pStyle w:val="null3"/>
      </w:pPr>
      <w:r>
        <w:rPr>
          <w:rFonts w:ascii="仿宋_GB2312" w:hAnsi="仿宋_GB2312" w:cs="仿宋_GB2312" w:eastAsia="仿宋_GB2312"/>
        </w:rPr>
        <w:t>地址：西安市曲江新区雁翔路旺座曲江L座1506室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 xml:space="preserve"> 采购配套物联网智能化系统1套，卷盘式喷灌机23台；水肥一体机13台。</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3,425,149.26</w:t>
      </w:r>
    </w:p>
    <w:p>
      <w:pPr>
        <w:pStyle w:val="null3"/>
      </w:pPr>
      <w:r>
        <w:rPr>
          <w:rFonts w:ascii="仿宋_GB2312" w:hAnsi="仿宋_GB2312" w:cs="仿宋_GB2312" w:eastAsia="仿宋_GB2312"/>
        </w:rPr>
        <w:t>采购包最高限价（元）: 3,425,149.26</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高标准农田科技配套设备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3,425,149.26</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标的名称：高标准农田科技配套设备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8"/>
                <w:b/>
              </w:rPr>
              <w:t>一、采购清单</w:t>
            </w:r>
          </w:p>
          <w:tbl>
            <w:tblPr>
              <w:tblInd w:type="dxa" w:w="210"/>
              <w:tblBorders>
                <w:top w:val="none" w:color="000000" w:sz="4"/>
                <w:left w:val="none" w:color="000000" w:sz="4"/>
                <w:bottom w:val="none" w:color="000000" w:sz="4"/>
                <w:right w:val="none" w:color="000000" w:sz="4"/>
                <w:insideH w:val="none"/>
                <w:insideV w:val="none"/>
              </w:tblBorders>
            </w:tblPr>
            <w:tblGrid>
              <w:gridCol w:w="228"/>
              <w:gridCol w:w="626"/>
              <w:gridCol w:w="1184"/>
              <w:gridCol w:w="287"/>
              <w:gridCol w:w="228"/>
            </w:tblGrid>
            <w:tr>
              <w:tc>
                <w:tcPr>
                  <w:tcW w:type="dxa" w:w="2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序号</w:t>
                  </w:r>
                </w:p>
              </w:tc>
              <w:tc>
                <w:tcPr>
                  <w:tcW w:type="dxa" w:w="6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产品名称及</w:t>
                  </w:r>
                </w:p>
              </w:tc>
              <w:tc>
                <w:tcPr>
                  <w:tcW w:type="dxa" w:w="11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技术要求</w:t>
                  </w:r>
                </w:p>
              </w:tc>
              <w:tc>
                <w:tcPr>
                  <w:tcW w:type="dxa" w:w="2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数量</w:t>
                  </w:r>
                </w:p>
              </w:tc>
              <w:tc>
                <w:tcPr>
                  <w:tcW w:type="dxa" w:w="2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单位</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环境气象监测设备</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w:t>
                  </w:r>
                  <w:r>
                    <w:rPr>
                      <w:rFonts w:ascii="仿宋_GB2312" w:hAnsi="仿宋_GB2312" w:cs="仿宋_GB2312" w:eastAsia="仿宋_GB2312"/>
                      <w:sz w:val="19"/>
                      <w:color w:val="000000"/>
                    </w:rPr>
                    <w:t>可连接符合</w:t>
                  </w:r>
                  <w:r>
                    <w:rPr>
                      <w:rFonts w:ascii="仿宋_GB2312" w:hAnsi="仿宋_GB2312" w:cs="仿宋_GB2312" w:eastAsia="仿宋_GB2312"/>
                      <w:sz w:val="19"/>
                      <w:color w:val="000000"/>
                    </w:rPr>
                    <w:t>485标准通讯协议的环境、土壤温湿度、光照、二氧化碳、压力、流量等传感器，可与FKZB103智能物联网网关通讯连接至云平台形成数据储存及监测系统，可在电脑及手机终端查看。</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w:t>
                  </w:r>
                  <w:r>
                    <w:rPr>
                      <w:rFonts w:ascii="仿宋_GB2312" w:hAnsi="仿宋_GB2312" w:cs="仿宋_GB2312" w:eastAsia="仿宋_GB2312"/>
                      <w:sz w:val="19"/>
                      <w:color w:val="000000"/>
                    </w:rPr>
                    <w:t>提供不少于</w:t>
                  </w:r>
                  <w:r>
                    <w:rPr>
                      <w:rFonts w:ascii="仿宋_GB2312" w:hAnsi="仿宋_GB2312" w:cs="仿宋_GB2312" w:eastAsia="仿宋_GB2312"/>
                      <w:sz w:val="19"/>
                      <w:color w:val="000000"/>
                    </w:rPr>
                    <w:t>5</w:t>
                  </w:r>
                  <w:r>
                    <w:rPr>
                      <w:rFonts w:ascii="仿宋_GB2312" w:hAnsi="仿宋_GB2312" w:cs="仿宋_GB2312" w:eastAsia="仿宋_GB2312"/>
                      <w:sz w:val="19"/>
                      <w:color w:val="000000"/>
                    </w:rPr>
                    <w:t>年的网络服务费；</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3</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套</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太阳能杀虫灯</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1.蓄电池：采用锂电池，电池容量≥12Ah，DC12.8V，具有过充、过放、短路保护等功能，电池嵌于灯头内部。具有防盗保护。</w:t>
                  </w:r>
                </w:p>
                <w:p>
                  <w:pPr>
                    <w:pStyle w:val="null3"/>
                  </w:pPr>
                  <w:r>
                    <w:rPr>
                      <w:rFonts w:ascii="仿宋_GB2312" w:hAnsi="仿宋_GB2312" w:cs="仿宋_GB2312" w:eastAsia="仿宋_GB2312"/>
                      <w:sz w:val="19"/>
                      <w:color w:val="000000"/>
                    </w:rPr>
                    <w:t>2.太阳能电池板：单晶硅电池板，功率≥40W，实际转换效率≥21%，灯杆顶部倾斜固定安装。</w:t>
                  </w:r>
                </w:p>
                <w:p>
                  <w:pPr>
                    <w:pStyle w:val="null3"/>
                  </w:pPr>
                  <w:r>
                    <w:rPr>
                      <w:rFonts w:ascii="仿宋_GB2312" w:hAnsi="仿宋_GB2312" w:cs="仿宋_GB2312" w:eastAsia="仿宋_GB2312"/>
                      <w:sz w:val="19"/>
                      <w:color w:val="000000"/>
                    </w:rPr>
                    <w:t>3.电网电压：≥4000V/；</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4.撞击面积：≥0.15㎡；</w:t>
                  </w:r>
                </w:p>
                <w:p>
                  <w:pPr>
                    <w:pStyle w:val="null3"/>
                  </w:pPr>
                  <w:r>
                    <w:rPr>
                      <w:rFonts w:ascii="仿宋_GB2312" w:hAnsi="仿宋_GB2312" w:cs="仿宋_GB2312" w:eastAsia="仿宋_GB2312"/>
                      <w:sz w:val="19"/>
                      <w:color w:val="000000"/>
                    </w:rPr>
                    <w:t>5.功率：≥20W；</w:t>
                  </w:r>
                </w:p>
                <w:p>
                  <w:pPr>
                    <w:pStyle w:val="null3"/>
                  </w:pPr>
                  <w:r>
                    <w:rPr>
                      <w:rFonts w:ascii="仿宋_GB2312" w:hAnsi="仿宋_GB2312" w:cs="仿宋_GB2312" w:eastAsia="仿宋_GB2312"/>
                      <w:sz w:val="19"/>
                      <w:color w:val="000000"/>
                    </w:rPr>
                    <w:t>6.灯管光波波长：320～680nm；</w:t>
                  </w:r>
                </w:p>
                <w:p>
                  <w:pPr>
                    <w:pStyle w:val="null3"/>
                  </w:pPr>
                  <w:r>
                    <w:rPr>
                      <w:rFonts w:ascii="仿宋_GB2312" w:hAnsi="仿宋_GB2312" w:cs="仿宋_GB2312" w:eastAsia="仿宋_GB2312"/>
                      <w:sz w:val="19"/>
                      <w:color w:val="000000"/>
                    </w:rPr>
                    <w:t>7.控制面积：30～50 亩；</w:t>
                  </w:r>
                </w:p>
                <w:p>
                  <w:pPr>
                    <w:pStyle w:val="null3"/>
                  </w:pPr>
                  <w:r>
                    <w:rPr>
                      <w:rFonts w:ascii="仿宋_GB2312" w:hAnsi="仿宋_GB2312" w:cs="仿宋_GB2312" w:eastAsia="仿宋_GB2312"/>
                      <w:sz w:val="19"/>
                      <w:color w:val="000000"/>
                    </w:rPr>
                    <w:t>8</w:t>
                  </w:r>
                  <w:r>
                    <w:rPr>
                      <w:rFonts w:ascii="仿宋_GB2312" w:hAnsi="仿宋_GB2312" w:cs="仿宋_GB2312" w:eastAsia="仿宋_GB2312"/>
                      <w:sz w:val="19"/>
                      <w:color w:val="000000"/>
                    </w:rPr>
                    <w:t>.</w:t>
                  </w:r>
                  <w:r>
                    <w:rPr>
                      <w:rFonts w:ascii="仿宋_GB2312" w:hAnsi="仿宋_GB2312" w:cs="仿宋_GB2312" w:eastAsia="仿宋_GB2312"/>
                      <w:sz w:val="19"/>
                      <w:color w:val="000000"/>
                    </w:rPr>
                    <w:t>立杆高度：</w:t>
                  </w:r>
                  <w:r>
                    <w:rPr>
                      <w:rFonts w:ascii="仿宋_GB2312" w:hAnsi="仿宋_GB2312" w:cs="仿宋_GB2312" w:eastAsia="仿宋_GB2312"/>
                      <w:sz w:val="19"/>
                      <w:color w:val="000000"/>
                    </w:rPr>
                    <w:t>3.2m</w:t>
                  </w:r>
                </w:p>
                <w:p>
                  <w:pPr>
                    <w:pStyle w:val="null3"/>
                  </w:pPr>
                  <w:r>
                    <w:rPr>
                      <w:rFonts w:ascii="仿宋_GB2312" w:hAnsi="仿宋_GB2312" w:cs="仿宋_GB2312" w:eastAsia="仿宋_GB2312"/>
                      <w:sz w:val="19"/>
                      <w:color w:val="000000"/>
                    </w:rPr>
                    <w:t>9</w:t>
                  </w:r>
                  <w:r>
                    <w:rPr>
                      <w:rFonts w:ascii="仿宋_GB2312" w:hAnsi="仿宋_GB2312" w:cs="仿宋_GB2312" w:eastAsia="仿宋_GB2312"/>
                      <w:sz w:val="19"/>
                      <w:color w:val="000000"/>
                    </w:rPr>
                    <w:t>.</w:t>
                  </w:r>
                  <w:r>
                    <w:rPr>
                      <w:rFonts w:ascii="仿宋_GB2312" w:hAnsi="仿宋_GB2312" w:cs="仿宋_GB2312" w:eastAsia="仿宋_GB2312"/>
                      <w:sz w:val="19"/>
                      <w:color w:val="000000"/>
                    </w:rPr>
                    <w:t>防护等级</w:t>
                  </w:r>
                  <w:r>
                    <w:rPr>
                      <w:rFonts w:ascii="仿宋_GB2312" w:hAnsi="仿宋_GB2312" w:cs="仿宋_GB2312" w:eastAsia="仿宋_GB2312"/>
                      <w:sz w:val="19"/>
                      <w:color w:val="000000"/>
                    </w:rPr>
                    <w:t>I</w:t>
                  </w:r>
                  <w:r>
                    <w:rPr>
                      <w:rFonts w:ascii="仿宋_GB2312" w:hAnsi="仿宋_GB2312" w:cs="仿宋_GB2312" w:eastAsia="仿宋_GB2312"/>
                      <w:sz w:val="19"/>
                      <w:color w:val="000000"/>
                    </w:rPr>
                    <w:t>P65</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0.</w:t>
                  </w:r>
                  <w:r>
                    <w:rPr>
                      <w:rFonts w:ascii="仿宋_GB2312" w:hAnsi="仿宋_GB2312" w:cs="仿宋_GB2312" w:eastAsia="仿宋_GB2312"/>
                      <w:sz w:val="19"/>
                      <w:color w:val="000000"/>
                    </w:rPr>
                    <w:t>基础：长宽高</w:t>
                  </w:r>
                  <w:r>
                    <w:rPr>
                      <w:rFonts w:ascii="仿宋_GB2312" w:hAnsi="仿宋_GB2312" w:cs="仿宋_GB2312" w:eastAsia="仿宋_GB2312"/>
                      <w:sz w:val="19"/>
                      <w:color w:val="000000"/>
                    </w:rPr>
                    <w:t>:</w:t>
                  </w:r>
                  <w:r>
                    <w:rPr>
                      <w:rFonts w:ascii="仿宋_GB2312" w:hAnsi="仿宋_GB2312" w:cs="仿宋_GB2312" w:eastAsia="仿宋_GB2312"/>
                      <w:sz w:val="19"/>
                      <w:color w:val="000000"/>
                    </w:rPr>
                    <w:t>30cm*30cm*40cm，C20混凝土</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150</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套</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土壤监测设备</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1.可连接符合485标准通讯协议的土壤温度、湿度、</w:t>
                  </w:r>
                  <w:r>
                    <w:rPr>
                      <w:rFonts w:ascii="仿宋_GB2312" w:hAnsi="仿宋_GB2312" w:cs="仿宋_GB2312" w:eastAsia="仿宋_GB2312"/>
                      <w:sz w:val="19"/>
                      <w:color w:val="000000"/>
                    </w:rPr>
                    <w:t>P</w:t>
                  </w:r>
                  <w:r>
                    <w:rPr>
                      <w:rFonts w:ascii="仿宋_GB2312" w:hAnsi="仿宋_GB2312" w:cs="仿宋_GB2312" w:eastAsia="仿宋_GB2312"/>
                      <w:sz w:val="19"/>
                      <w:color w:val="000000"/>
                    </w:rPr>
                    <w:t>H</w:t>
                  </w:r>
                  <w:r>
                    <w:rPr>
                      <w:rFonts w:ascii="仿宋_GB2312" w:hAnsi="仿宋_GB2312" w:cs="仿宋_GB2312" w:eastAsia="仿宋_GB2312"/>
                      <w:sz w:val="19"/>
                      <w:color w:val="000000"/>
                    </w:rPr>
                    <w:t>值、</w:t>
                  </w:r>
                  <w:r>
                    <w:rPr>
                      <w:rFonts w:ascii="仿宋_GB2312" w:hAnsi="仿宋_GB2312" w:cs="仿宋_GB2312" w:eastAsia="仿宋_GB2312"/>
                      <w:sz w:val="19"/>
                      <w:color w:val="000000"/>
                    </w:rPr>
                    <w:t>E</w:t>
                  </w:r>
                  <w:r>
                    <w:rPr>
                      <w:rFonts w:ascii="仿宋_GB2312" w:hAnsi="仿宋_GB2312" w:cs="仿宋_GB2312" w:eastAsia="仿宋_GB2312"/>
                      <w:sz w:val="19"/>
                      <w:color w:val="000000"/>
                    </w:rPr>
                    <w:t>C</w:t>
                  </w:r>
                  <w:r>
                    <w:rPr>
                      <w:rFonts w:ascii="仿宋_GB2312" w:hAnsi="仿宋_GB2312" w:cs="仿宋_GB2312" w:eastAsia="仿宋_GB2312"/>
                      <w:sz w:val="19"/>
                      <w:color w:val="000000"/>
                    </w:rPr>
                    <w:t>值</w:t>
                  </w:r>
                  <w:r>
                    <w:rPr>
                      <w:rFonts w:ascii="仿宋_GB2312" w:hAnsi="仿宋_GB2312" w:cs="仿宋_GB2312" w:eastAsia="仿宋_GB2312"/>
                      <w:sz w:val="19"/>
                      <w:color w:val="000000"/>
                    </w:rPr>
                    <w:t>等传感器</w:t>
                  </w:r>
                  <w:r>
                    <w:rPr>
                      <w:rFonts w:ascii="仿宋_GB2312" w:hAnsi="仿宋_GB2312" w:cs="仿宋_GB2312" w:eastAsia="仿宋_GB2312"/>
                      <w:sz w:val="19"/>
                      <w:color w:val="000000"/>
                    </w:rPr>
                    <w:t>，</w:t>
                  </w:r>
                  <w:r>
                    <w:rPr>
                      <w:rFonts w:ascii="仿宋_GB2312" w:hAnsi="仿宋_GB2312" w:cs="仿宋_GB2312" w:eastAsia="仿宋_GB2312"/>
                      <w:sz w:val="19"/>
                      <w:color w:val="000000"/>
                    </w:rPr>
                    <w:t>可与</w:t>
                  </w:r>
                  <w:r>
                    <w:rPr>
                      <w:rFonts w:ascii="仿宋_GB2312" w:hAnsi="仿宋_GB2312" w:cs="仿宋_GB2312" w:eastAsia="仿宋_GB2312"/>
                      <w:sz w:val="19"/>
                      <w:color w:val="000000"/>
                    </w:rPr>
                    <w:t>FKZB103智能物联网网关通讯连接至云平台形成数据储存监测系统；</w:t>
                  </w:r>
                  <w:r>
                    <w:rPr>
                      <w:rFonts w:ascii="仿宋_GB2312" w:hAnsi="仿宋_GB2312" w:cs="仿宋_GB2312" w:eastAsia="仿宋_GB2312"/>
                      <w:sz w:val="19"/>
                      <w:color w:val="000000"/>
                    </w:rPr>
                    <w:t>Lora通讯技术，自动绕过障碍物，不低于2公里远距离稳定通讯 。</w:t>
                  </w:r>
                </w:p>
                <w:p>
                  <w:pPr>
                    <w:pStyle w:val="null3"/>
                  </w:pPr>
                  <w:r>
                    <w:rPr>
                      <w:rFonts w:ascii="仿宋_GB2312" w:hAnsi="仿宋_GB2312" w:cs="仿宋_GB2312" w:eastAsia="仿宋_GB2312"/>
                      <w:sz w:val="19"/>
                      <w:color w:val="000000"/>
                    </w:rPr>
                    <w:t>2.内置锂电池，满电情况下工作时间≥6个月。</w:t>
                  </w:r>
                </w:p>
                <w:p>
                  <w:pPr>
                    <w:pStyle w:val="null3"/>
                  </w:pPr>
                  <w:r>
                    <w:rPr>
                      <w:rFonts w:ascii="仿宋_GB2312" w:hAnsi="仿宋_GB2312" w:cs="仿宋_GB2312" w:eastAsia="仿宋_GB2312"/>
                      <w:sz w:val="19"/>
                      <w:color w:val="000000"/>
                    </w:rPr>
                    <w:t>3.太阳能充电功能，可长期使用，免维护。</w:t>
                  </w:r>
                </w:p>
                <w:p>
                  <w:pPr>
                    <w:pStyle w:val="null3"/>
                  </w:pPr>
                  <w:r>
                    <w:rPr>
                      <w:rFonts w:ascii="仿宋_GB2312" w:hAnsi="仿宋_GB2312" w:cs="仿宋_GB2312" w:eastAsia="仿宋_GB2312"/>
                      <w:sz w:val="19"/>
                      <w:color w:val="000000"/>
                    </w:rPr>
                    <w:t>4</w:t>
                  </w:r>
                  <w:r>
                    <w:rPr>
                      <w:rFonts w:ascii="仿宋_GB2312" w:hAnsi="仿宋_GB2312" w:cs="仿宋_GB2312" w:eastAsia="仿宋_GB2312"/>
                      <w:sz w:val="19"/>
                      <w:color w:val="000000"/>
                    </w:rPr>
                    <w:t>.最少可接4个485传感器，测点间距≥10c</w:t>
                  </w:r>
                  <w:r>
                    <w:rPr>
                      <w:rFonts w:ascii="仿宋_GB2312" w:hAnsi="仿宋_GB2312" w:cs="仿宋_GB2312" w:eastAsia="仿宋_GB2312"/>
                      <w:sz w:val="19"/>
                      <w:color w:val="000000"/>
                    </w:rPr>
                    <w:t>m</w:t>
                  </w:r>
                  <w:r>
                    <w:rPr>
                      <w:rFonts w:ascii="仿宋_GB2312" w:hAnsi="仿宋_GB2312" w:cs="仿宋_GB2312" w:eastAsia="仿宋_GB2312"/>
                      <w:sz w:val="19"/>
                      <w:color w:val="000000"/>
                    </w:rPr>
                    <w:t>，</w:t>
                  </w:r>
                  <w:r>
                    <w:rPr>
                      <w:rFonts w:ascii="仿宋_GB2312" w:hAnsi="仿宋_GB2312" w:cs="仿宋_GB2312" w:eastAsia="仿宋_GB2312"/>
                      <w:sz w:val="19"/>
                      <w:color w:val="000000"/>
                    </w:rPr>
                    <w:t>0</w:t>
                  </w:r>
                  <w:r>
                    <w:rPr>
                      <w:rFonts w:ascii="仿宋_GB2312" w:hAnsi="仿宋_GB2312" w:cs="仿宋_GB2312" w:eastAsia="仿宋_GB2312"/>
                      <w:sz w:val="19"/>
                      <w:color w:val="000000"/>
                    </w:rPr>
                    <w:t>-30CM</w:t>
                  </w:r>
                  <w:r>
                    <w:rPr>
                      <w:rFonts w:ascii="仿宋_GB2312" w:hAnsi="仿宋_GB2312" w:cs="仿宋_GB2312" w:eastAsia="仿宋_GB2312"/>
                      <w:sz w:val="19"/>
                      <w:color w:val="000000"/>
                    </w:rPr>
                    <w:t>内层级大于</w:t>
                  </w:r>
                  <w:r>
                    <w:rPr>
                      <w:rFonts w:ascii="仿宋_GB2312" w:hAnsi="仿宋_GB2312" w:cs="仿宋_GB2312" w:eastAsia="仿宋_GB2312"/>
                      <w:sz w:val="19"/>
                      <w:color w:val="000000"/>
                    </w:rPr>
                    <w:t>3，每层1</w:t>
                  </w:r>
                  <w:r>
                    <w:rPr>
                      <w:rFonts w:ascii="仿宋_GB2312" w:hAnsi="仿宋_GB2312" w:cs="仿宋_GB2312" w:eastAsia="仿宋_GB2312"/>
                      <w:sz w:val="19"/>
                      <w:color w:val="000000"/>
                    </w:rPr>
                    <w:t>0CM</w:t>
                  </w:r>
                  <w:r>
                    <w:rPr>
                      <w:rFonts w:ascii="仿宋_GB2312" w:hAnsi="仿宋_GB2312" w:cs="仿宋_GB2312" w:eastAsia="仿宋_GB2312"/>
                      <w:sz w:val="19"/>
                      <w:color w:val="000000"/>
                    </w:rPr>
                    <w:t>±</w:t>
                  </w:r>
                  <w:r>
                    <w:rPr>
                      <w:rFonts w:ascii="仿宋_GB2312" w:hAnsi="仿宋_GB2312" w:cs="仿宋_GB2312" w:eastAsia="仿宋_GB2312"/>
                      <w:sz w:val="19"/>
                      <w:color w:val="000000"/>
                    </w:rPr>
                    <w:t>1.</w:t>
                  </w:r>
                </w:p>
                <w:p>
                  <w:pPr>
                    <w:pStyle w:val="null3"/>
                  </w:pPr>
                  <w:r>
                    <w:rPr>
                      <w:rFonts w:ascii="仿宋_GB2312" w:hAnsi="仿宋_GB2312" w:cs="仿宋_GB2312" w:eastAsia="仿宋_GB2312"/>
                      <w:sz w:val="19"/>
                      <w:color w:val="000000"/>
                    </w:rPr>
                    <w:t>5</w:t>
                  </w:r>
                  <w:r>
                    <w:rPr>
                      <w:rFonts w:ascii="仿宋_GB2312" w:hAnsi="仿宋_GB2312" w:cs="仿宋_GB2312" w:eastAsia="仿宋_GB2312"/>
                      <w:sz w:val="19"/>
                      <w:color w:val="000000"/>
                    </w:rPr>
                    <w:t>.防护等级IP6</w:t>
                  </w:r>
                  <w:r>
                    <w:rPr>
                      <w:rFonts w:ascii="仿宋_GB2312" w:hAnsi="仿宋_GB2312" w:cs="仿宋_GB2312" w:eastAsia="仿宋_GB2312"/>
                      <w:sz w:val="19"/>
                      <w:color w:val="000000"/>
                    </w:rPr>
                    <w:t>5</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6</w:t>
                  </w:r>
                  <w:r>
                    <w:rPr>
                      <w:rFonts w:ascii="仿宋_GB2312" w:hAnsi="仿宋_GB2312" w:cs="仿宋_GB2312" w:eastAsia="仿宋_GB2312"/>
                      <w:sz w:val="19"/>
                      <w:color w:val="000000"/>
                    </w:rPr>
                    <w:t>.温度测量范围-20℃~80℃。</w:t>
                  </w:r>
                </w:p>
                <w:p>
                  <w:pPr>
                    <w:pStyle w:val="null3"/>
                  </w:pPr>
                  <w:r>
                    <w:rPr>
                      <w:rFonts w:ascii="仿宋_GB2312" w:hAnsi="仿宋_GB2312" w:cs="仿宋_GB2312" w:eastAsia="仿宋_GB2312"/>
                      <w:sz w:val="19"/>
                      <w:color w:val="000000"/>
                    </w:rPr>
                    <w:t>7</w:t>
                  </w:r>
                  <w:r>
                    <w:rPr>
                      <w:rFonts w:ascii="仿宋_GB2312" w:hAnsi="仿宋_GB2312" w:cs="仿宋_GB2312" w:eastAsia="仿宋_GB2312"/>
                      <w:sz w:val="19"/>
                      <w:color w:val="000000"/>
                    </w:rPr>
                    <w:t>.湿度测量范围0-100%。</w:t>
                  </w:r>
                </w:p>
                <w:p>
                  <w:pPr>
                    <w:pStyle w:val="null3"/>
                  </w:pPr>
                  <w:r>
                    <w:rPr>
                      <w:rFonts w:ascii="仿宋_GB2312" w:hAnsi="仿宋_GB2312" w:cs="仿宋_GB2312" w:eastAsia="仿宋_GB2312"/>
                      <w:sz w:val="19"/>
                      <w:color w:val="000000"/>
                    </w:rPr>
                    <w:t>8</w:t>
                  </w:r>
                  <w:r>
                    <w:rPr>
                      <w:rFonts w:ascii="仿宋_GB2312" w:hAnsi="仿宋_GB2312" w:cs="仿宋_GB2312" w:eastAsia="仿宋_GB2312"/>
                      <w:sz w:val="19"/>
                      <w:color w:val="000000"/>
                    </w:rPr>
                    <w:t>.工作温度-40℃~80℃。</w:t>
                  </w:r>
                </w:p>
                <w:p>
                  <w:pPr>
                    <w:pStyle w:val="null3"/>
                  </w:pPr>
                  <w:r>
                    <w:rPr>
                      <w:rFonts w:ascii="仿宋_GB2312" w:hAnsi="仿宋_GB2312" w:cs="仿宋_GB2312" w:eastAsia="仿宋_GB2312"/>
                      <w:sz w:val="19"/>
                      <w:color w:val="000000"/>
                    </w:rPr>
                    <w:t>9</w:t>
                  </w:r>
                  <w:r>
                    <w:rPr>
                      <w:rFonts w:ascii="仿宋_GB2312" w:hAnsi="仿宋_GB2312" w:cs="仿宋_GB2312" w:eastAsia="仿宋_GB2312"/>
                      <w:sz w:val="19"/>
                      <w:color w:val="000000"/>
                    </w:rPr>
                    <w:t>. 精度：温度±0.5℃，湿度±5%；</w:t>
                  </w:r>
                </w:p>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0.</w:t>
                  </w:r>
                  <w:r>
                    <w:rPr>
                      <w:rFonts w:ascii="仿宋_GB2312" w:hAnsi="仿宋_GB2312" w:cs="仿宋_GB2312" w:eastAsia="仿宋_GB2312"/>
                      <w:sz w:val="19"/>
                    </w:rPr>
                    <w:t xml:space="preserve"> </w:t>
                  </w:r>
                  <w:r>
                    <w:rPr>
                      <w:rFonts w:ascii="仿宋_GB2312" w:hAnsi="仿宋_GB2312" w:cs="仿宋_GB2312" w:eastAsia="仿宋_GB2312"/>
                      <w:sz w:val="19"/>
                      <w:color w:val="000000"/>
                    </w:rPr>
                    <w:t>基础：长宽高</w:t>
                  </w:r>
                  <w:r>
                    <w:rPr>
                      <w:rFonts w:ascii="仿宋_GB2312" w:hAnsi="仿宋_GB2312" w:cs="仿宋_GB2312" w:eastAsia="仿宋_GB2312"/>
                      <w:sz w:val="19"/>
                      <w:color w:val="000000"/>
                    </w:rPr>
                    <w:t>:0.6m*0.6m*0.3m，C20混凝土</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3</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套</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c>
                <w:tcPr>
                  <w:tcW w:type="dxa" w:w="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设备围栏</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19"/>
                    </w:rPr>
                    <w:t>.</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基础挖方：</w:t>
                  </w:r>
                  <w:r>
                    <w:rPr>
                      <w:rFonts w:ascii="仿宋_GB2312" w:hAnsi="仿宋_GB2312" w:cs="仿宋_GB2312" w:eastAsia="仿宋_GB2312"/>
                      <w:sz w:val="19"/>
                      <w:color w:val="000000"/>
                    </w:rPr>
                    <w:t>0.3m*0.3m*0.4m</w:t>
                  </w:r>
                </w:p>
                <w:p>
                  <w:pPr>
                    <w:pStyle w:val="null3"/>
                  </w:pP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基础</w:t>
                  </w:r>
                  <w:r>
                    <w:rPr>
                      <w:rFonts w:ascii="仿宋_GB2312" w:hAnsi="仿宋_GB2312" w:cs="仿宋_GB2312" w:eastAsia="仿宋_GB2312"/>
                      <w:sz w:val="19"/>
                      <w:color w:val="000000"/>
                    </w:rPr>
                    <w:t>C25混凝土：0.3m*0.3m*0.4m</w:t>
                  </w:r>
                </w:p>
                <w:p>
                  <w:pPr>
                    <w:pStyle w:val="null3"/>
                  </w:pP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围栏材质：</w:t>
                  </w:r>
                  <w:r>
                    <w:rPr>
                      <w:rFonts w:ascii="仿宋_GB2312" w:hAnsi="仿宋_GB2312" w:cs="仿宋_GB2312" w:eastAsia="仿宋_GB2312"/>
                      <w:sz w:val="19"/>
                      <w:color w:val="000000"/>
                    </w:rPr>
                    <w:t>PVC 塑钢</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c>
                <w:tcPr>
                  <w:tcW w:type="dxa" w:w="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网络需求</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1. 配置500M-1G 专线（支持后续扩容至 10G），为有线 / 无线设备提供稳定联网，包含专线费用、综合布线、网络线材、施工、网络设备（核心交换机、路由器、防火墙、PoE 交换机等）；</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3. 提供不少于 5 年的网络服务费，包含定期巡检、故障响应、带宽扩容、网络安全防护（防火墙、入侵检测、VPN）等运维服务</w:t>
                  </w:r>
                  <w:r>
                    <w:rPr>
                      <w:rFonts w:ascii="仿宋_GB2312" w:hAnsi="仿宋_GB2312" w:cs="仿宋_GB2312" w:eastAsia="仿宋_GB2312"/>
                      <w:sz w:val="19"/>
                      <w:color w:val="000000"/>
                    </w:rPr>
                    <w:t>（</w:t>
                  </w:r>
                  <w:r>
                    <w:rPr>
                      <w:rFonts w:ascii="仿宋_GB2312" w:hAnsi="仿宋_GB2312" w:cs="仿宋_GB2312" w:eastAsia="仿宋_GB2312"/>
                      <w:sz w:val="19"/>
                      <w:color w:val="000000"/>
                    </w:rPr>
                    <w:t>出具承诺书）</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4. 配置双专线冗余与核心设备冗余，保障 7×24 小时不间断运行。</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1</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项</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数据工作站</w:t>
                  </w:r>
                </w:p>
              </w:tc>
              <w:tc>
                <w:tcPr>
                  <w:tcW w:type="dxa" w:w="11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操作系统：国产操作系统</w:t>
                  </w:r>
                  <w:r>
                    <w:rPr>
                      <w:rFonts w:ascii="仿宋_GB2312" w:hAnsi="仿宋_GB2312" w:cs="仿宋_GB2312" w:eastAsia="仿宋_GB2312"/>
                      <w:sz w:val="19"/>
                      <w:color w:val="000000"/>
                    </w:rPr>
                    <w:t>，支持图形化管理工具，具备</w:t>
                  </w:r>
                  <w:r>
                    <w:rPr>
                      <w:rFonts w:ascii="仿宋_GB2312" w:hAnsi="仿宋_GB2312" w:cs="仿宋_GB2312" w:eastAsia="仿宋_GB2312"/>
                      <w:sz w:val="19"/>
                      <w:color w:val="000000"/>
                    </w:rPr>
                    <w:t xml:space="preserve"> LAMP、LNMP、Tomcat、Node.js 等常用运行环境部署能力</w:t>
                  </w:r>
                  <w:r>
                    <w:rPr>
                      <w:rFonts w:ascii="仿宋_GB2312" w:hAnsi="仿宋_GB2312" w:cs="仿宋_GB2312" w:eastAsia="仿宋_GB2312"/>
                      <w:sz w:val="19"/>
                      <w:color w:val="000000"/>
                    </w:rPr>
                    <w:t>，</w:t>
                  </w:r>
                  <w:r>
                    <w:rPr>
                      <w:rFonts w:ascii="仿宋_GB2312" w:hAnsi="仿宋_GB2312" w:cs="仿宋_GB2312" w:eastAsia="仿宋_GB2312"/>
                      <w:sz w:val="19"/>
                      <w:color w:val="000000"/>
                    </w:rPr>
                    <w:t>满足</w:t>
                  </w:r>
                  <w:r>
                    <w:rPr>
                      <w:rFonts w:ascii="仿宋_GB2312" w:hAnsi="仿宋_GB2312" w:cs="仿宋_GB2312" w:eastAsia="仿宋_GB2312"/>
                      <w:sz w:val="19"/>
                      <w:color w:val="000000"/>
                    </w:rPr>
                    <w:t xml:space="preserve"> 7×24 小时稳定运行</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2、CPU：</w:t>
                  </w:r>
                  <w:r>
                    <w:rPr>
                      <w:rFonts w:ascii="仿宋_GB2312" w:hAnsi="仿宋_GB2312" w:cs="仿宋_GB2312" w:eastAsia="仿宋_GB2312"/>
                      <w:sz w:val="19"/>
                      <w:color w:val="000000"/>
                    </w:rPr>
                    <w:t>≥</w:t>
                  </w:r>
                  <w:r>
                    <w:rPr>
                      <w:rFonts w:ascii="仿宋_GB2312" w:hAnsi="仿宋_GB2312" w:cs="仿宋_GB2312" w:eastAsia="仿宋_GB2312"/>
                      <w:sz w:val="19"/>
                      <w:color w:val="000000"/>
                    </w:rPr>
                    <w:t>8核</w:t>
                  </w:r>
                  <w:r>
                    <w:rPr>
                      <w:rFonts w:ascii="仿宋_GB2312" w:hAnsi="仿宋_GB2312" w:cs="仿宋_GB2312" w:eastAsia="仿宋_GB2312"/>
                      <w:sz w:val="19"/>
                      <w:color w:val="000000"/>
                    </w:rPr>
                    <w:t>，处理器主频</w:t>
                  </w:r>
                  <w:r>
                    <w:rPr>
                      <w:rFonts w:ascii="仿宋_GB2312" w:hAnsi="仿宋_GB2312" w:cs="仿宋_GB2312" w:eastAsia="仿宋_GB2312"/>
                      <w:sz w:val="19"/>
                      <w:color w:val="000000"/>
                    </w:rPr>
                    <w:t>≥2.7GHz；</w:t>
                  </w:r>
                </w:p>
                <w:p>
                  <w:pPr>
                    <w:pStyle w:val="null3"/>
                  </w:pPr>
                  <w:r>
                    <w:rPr>
                      <w:rFonts w:ascii="仿宋_GB2312" w:hAnsi="仿宋_GB2312" w:cs="仿宋_GB2312" w:eastAsia="仿宋_GB2312"/>
                      <w:sz w:val="19"/>
                      <w:color w:val="000000"/>
                    </w:rPr>
                    <w:t>3、内存：</w:t>
                  </w:r>
                  <w:r>
                    <w:rPr>
                      <w:rFonts w:ascii="仿宋_GB2312" w:hAnsi="仿宋_GB2312" w:cs="仿宋_GB2312" w:eastAsia="仿宋_GB2312"/>
                      <w:sz w:val="19"/>
                      <w:color w:val="000000"/>
                    </w:rPr>
                    <w:t>≥</w:t>
                  </w:r>
                  <w:r>
                    <w:rPr>
                      <w:rFonts w:ascii="仿宋_GB2312" w:hAnsi="仿宋_GB2312" w:cs="仿宋_GB2312" w:eastAsia="仿宋_GB2312"/>
                      <w:sz w:val="19"/>
                      <w:color w:val="000000"/>
                    </w:rPr>
                    <w:t>16GB</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4、系统盘: 企业级高性能 SSD 云硬盘，容量≥200GB，随机读写性能满足7×24 小时业务连续运行要求</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5、数据盘: 采用高性能 SSD 架构，存储容量≥1000GB，读写性能满足业务并发访问要求</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6、公网带宽: 5Mbps （固定带宽）</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7、</w:t>
                  </w:r>
                  <w:r>
                    <w:rPr>
                      <w:rFonts w:ascii="仿宋_GB2312" w:hAnsi="仿宋_GB2312" w:cs="仿宋_GB2312" w:eastAsia="仿宋_GB2312"/>
                      <w:sz w:val="19"/>
                      <w:color w:val="000000"/>
                    </w:rPr>
                    <w:t>显示器：</w:t>
                  </w:r>
                  <w:r>
                    <w:rPr>
                      <w:rFonts w:ascii="仿宋_GB2312" w:hAnsi="仿宋_GB2312" w:cs="仿宋_GB2312" w:eastAsia="仿宋_GB2312"/>
                      <w:sz w:val="19"/>
                      <w:color w:val="000000"/>
                    </w:rPr>
                    <w:t>27 寸、双屏；</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1</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套</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农业灌溉用水监管、农业生产、物联网监管系统、系统中控及局域网建设</w:t>
                  </w:r>
                </w:p>
              </w:tc>
              <w:tc>
                <w:tcPr>
                  <w:tcW w:type="dxa" w:w="11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1. 功能模块：灌溉用水一张图、农业灌溉设备管理、县域</w:t>
                  </w:r>
                  <w:r>
                    <w:rPr>
                      <w:rFonts w:ascii="仿宋_GB2312" w:hAnsi="仿宋_GB2312" w:cs="仿宋_GB2312" w:eastAsia="仿宋_GB2312"/>
                      <w:sz w:val="19"/>
                      <w:color w:val="000000"/>
                    </w:rPr>
                    <w:t>—</w:t>
                  </w:r>
                  <w:r>
                    <w:rPr>
                      <w:rFonts w:ascii="仿宋_GB2312" w:hAnsi="仿宋_GB2312" w:cs="仿宋_GB2312" w:eastAsia="仿宋_GB2312"/>
                      <w:sz w:val="19"/>
                      <w:color w:val="000000"/>
                    </w:rPr>
                    <w:t>农业生产、农业生产管理、智慧灌溉管理、设备监管、农田监测、预警设置、设备维修管理、系统管理；</w:t>
                  </w:r>
                </w:p>
                <w:p>
                  <w:pPr>
                    <w:pStyle w:val="null3"/>
                  </w:pPr>
                  <w:r>
                    <w:rPr>
                      <w:rFonts w:ascii="仿宋_GB2312" w:hAnsi="仿宋_GB2312" w:cs="仿宋_GB2312" w:eastAsia="仿宋_GB2312"/>
                      <w:sz w:val="19"/>
                      <w:color w:val="000000"/>
                    </w:rPr>
                    <w:t>2. 光缆及套管施工：按需覆盖核心灌区（≥25km，预留 10% 冗余），同步完成系统中控室、局域网建设（含核心交换机、机柜、UPS 不间断电源等）；</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3. 提供不少于 5 年的网络</w:t>
                  </w:r>
                  <w:r>
                    <w:rPr>
                      <w:rFonts w:ascii="仿宋_GB2312" w:hAnsi="仿宋_GB2312" w:cs="仿宋_GB2312" w:eastAsia="仿宋_GB2312"/>
                      <w:sz w:val="19"/>
                      <w:color w:val="000000"/>
                    </w:rPr>
                    <w:t>+</w:t>
                  </w:r>
                  <w:r>
                    <w:rPr>
                      <w:rFonts w:ascii="仿宋_GB2312" w:hAnsi="仿宋_GB2312" w:cs="仿宋_GB2312" w:eastAsia="仿宋_GB2312"/>
                      <w:sz w:val="19"/>
                      <w:color w:val="000000"/>
                    </w:rPr>
                    <w:t>系统服务费，与农田项目周期匹配</w:t>
                  </w:r>
                  <w:r>
                    <w:rPr>
                      <w:rFonts w:ascii="仿宋_GB2312" w:hAnsi="仿宋_GB2312" w:cs="仿宋_GB2312" w:eastAsia="仿宋_GB2312"/>
                      <w:sz w:val="19"/>
                      <w:color w:val="000000"/>
                    </w:rPr>
                    <w:t>（</w:t>
                  </w:r>
                  <w:r>
                    <w:rPr>
                      <w:rFonts w:ascii="仿宋_GB2312" w:hAnsi="仿宋_GB2312" w:cs="仿宋_GB2312" w:eastAsia="仿宋_GB2312"/>
                      <w:sz w:val="19"/>
                      <w:color w:val="000000"/>
                    </w:rPr>
                    <w:t>出具承诺书）</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4. 采用地理信息（GIS）形式，地理数据符合行业相关规范，支持云 + 端多终端访问与数据共享；</w:t>
                  </w:r>
                </w:p>
                <w:p>
                  <w:pPr>
                    <w:pStyle w:val="null3"/>
                  </w:pPr>
                  <w:r>
                    <w:rPr>
                      <w:rFonts w:ascii="仿宋_GB2312" w:hAnsi="仿宋_GB2312" w:cs="仿宋_GB2312" w:eastAsia="仿宋_GB2312"/>
                      <w:sz w:val="19"/>
                      <w:color w:val="000000"/>
                    </w:rPr>
                    <w:t>5. 系统支持与上级农业监管平台对接，实现数据上报与联动。</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w:t>
                  </w:r>
                </w:p>
              </w:tc>
              <w:tc>
                <w:tcPr>
                  <w:tcW w:type="dxa" w:w="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b/>
                      <w:color w:val="000000"/>
                    </w:rPr>
                    <w:t>卷盘式喷灌机（桁架式自带增压泵）（核心产品）</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1.外形尺寸（长*宽*高）5300*2280*2600mm；</w:t>
                  </w:r>
                </w:p>
                <w:p>
                  <w:pPr>
                    <w:pStyle w:val="null3"/>
                  </w:pPr>
                  <w:r>
                    <w:rPr>
                      <w:rFonts w:ascii="仿宋_GB2312" w:hAnsi="仿宋_GB2312" w:cs="仿宋_GB2312" w:eastAsia="仿宋_GB2312"/>
                      <w:sz w:val="19"/>
                      <w:color w:val="000000"/>
                    </w:rPr>
                    <w:t>2.绞盘回卷驱动方式：水涡轮/电动；</w:t>
                  </w:r>
                </w:p>
                <w:p>
                  <w:pPr>
                    <w:pStyle w:val="null3"/>
                  </w:pPr>
                  <w:r>
                    <w:rPr>
                      <w:rFonts w:ascii="仿宋_GB2312" w:hAnsi="仿宋_GB2312" w:cs="仿宋_GB2312" w:eastAsia="仿宋_GB2312"/>
                      <w:sz w:val="19"/>
                      <w:color w:val="000000"/>
                    </w:rPr>
                    <w:t>3.卷管长度≥400m；</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4.有效喷洒幅宽：≥40m；</w:t>
                  </w:r>
                </w:p>
                <w:p>
                  <w:pPr>
                    <w:pStyle w:val="null3"/>
                  </w:pPr>
                  <w:r>
                    <w:rPr>
                      <w:rFonts w:ascii="仿宋_GB2312" w:hAnsi="仿宋_GB2312" w:cs="仿宋_GB2312" w:eastAsia="仿宋_GB2312"/>
                      <w:sz w:val="19"/>
                      <w:color w:val="000000"/>
                    </w:rPr>
                    <w:t>5.喷射装置形式：蜗轮蜗杆式；</w:t>
                  </w:r>
                </w:p>
                <w:p>
                  <w:pPr>
                    <w:pStyle w:val="null3"/>
                  </w:pPr>
                  <w:r>
                    <w:rPr>
                      <w:rFonts w:ascii="仿宋_GB2312" w:hAnsi="仿宋_GB2312" w:cs="仿宋_GB2312" w:eastAsia="仿宋_GB2312"/>
                      <w:sz w:val="19"/>
                      <w:color w:val="000000"/>
                    </w:rPr>
                    <w:t>6.配套水泵扬程：≥35m；</w:t>
                  </w:r>
                </w:p>
                <w:p>
                  <w:pPr>
                    <w:pStyle w:val="null3"/>
                  </w:pPr>
                  <w:r>
                    <w:rPr>
                      <w:rFonts w:ascii="仿宋_GB2312" w:hAnsi="仿宋_GB2312" w:cs="仿宋_GB2312" w:eastAsia="仿宋_GB2312"/>
                      <w:sz w:val="19"/>
                      <w:color w:val="000000"/>
                    </w:rPr>
                    <w:t>7.配套水泵额定流量：≥</w:t>
                  </w:r>
                  <w:r>
                    <w:rPr>
                      <w:rFonts w:ascii="仿宋_GB2312" w:hAnsi="仿宋_GB2312" w:cs="仿宋_GB2312" w:eastAsia="仿宋_GB2312"/>
                      <w:sz w:val="19"/>
                      <w:color w:val="000000"/>
                    </w:rPr>
                    <w:t>3</w:t>
                  </w:r>
                  <w:r>
                    <w:rPr>
                      <w:rFonts w:ascii="仿宋_GB2312" w:hAnsi="仿宋_GB2312" w:cs="仿宋_GB2312" w:eastAsia="仿宋_GB2312"/>
                      <w:sz w:val="19"/>
                      <w:color w:val="000000"/>
                    </w:rPr>
                    <w:t>0m³/h；</w:t>
                  </w:r>
                </w:p>
                <w:p>
                  <w:pPr>
                    <w:pStyle w:val="null3"/>
                  </w:pPr>
                  <w:r>
                    <w:rPr>
                      <w:rFonts w:ascii="仿宋_GB2312" w:hAnsi="仿宋_GB2312" w:cs="仿宋_GB2312" w:eastAsia="仿宋_GB2312"/>
                      <w:sz w:val="19"/>
                      <w:color w:val="000000"/>
                    </w:rPr>
                    <w:t>8.喷头流量≥30m³/h；</w:t>
                  </w:r>
                </w:p>
                <w:p>
                  <w:pPr>
                    <w:pStyle w:val="null3"/>
                  </w:pPr>
                  <w:r>
                    <w:rPr>
                      <w:rFonts w:ascii="仿宋_GB2312" w:hAnsi="仿宋_GB2312" w:cs="仿宋_GB2312" w:eastAsia="仿宋_GB2312"/>
                      <w:sz w:val="19"/>
                      <w:color w:val="000000"/>
                    </w:rPr>
                    <w:t>9.PE管直径75mm；</w:t>
                  </w:r>
                </w:p>
                <w:p>
                  <w:pPr>
                    <w:pStyle w:val="null3"/>
                  </w:pPr>
                  <w:r>
                    <w:rPr>
                      <w:rFonts w:ascii="仿宋_GB2312" w:hAnsi="仿宋_GB2312" w:cs="仿宋_GB2312" w:eastAsia="仿宋_GB2312"/>
                      <w:sz w:val="19"/>
                      <w:color w:val="000000"/>
                    </w:rPr>
                    <w:t>10.喷淋架宽度≥28m；</w:t>
                  </w:r>
                </w:p>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1</w:t>
                  </w:r>
                  <w:r>
                    <w:rPr>
                      <w:rFonts w:ascii="仿宋_GB2312" w:hAnsi="仿宋_GB2312" w:cs="仿宋_GB2312" w:eastAsia="仿宋_GB2312"/>
                      <w:sz w:val="19"/>
                      <w:color w:val="000000"/>
                    </w:rPr>
                    <w:t>.增压泵H≥50m，功率≥7.5kW；</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1</w:t>
                  </w:r>
                  <w:r>
                    <w:rPr>
                      <w:rFonts w:ascii="仿宋_GB2312" w:hAnsi="仿宋_GB2312" w:cs="仿宋_GB2312" w:eastAsia="仿宋_GB2312"/>
                      <w:sz w:val="19"/>
                      <w:color w:val="000000"/>
                    </w:rPr>
                    <w:t>2</w:t>
                  </w:r>
                  <w:r>
                    <w:rPr>
                      <w:rFonts w:ascii="仿宋_GB2312" w:hAnsi="仿宋_GB2312" w:cs="仿宋_GB2312" w:eastAsia="仿宋_GB2312"/>
                      <w:sz w:val="19"/>
                      <w:color w:val="000000"/>
                    </w:rPr>
                    <w:t>.柴油发电机组≥24kW。</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3</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台</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w:t>
                  </w:r>
                </w:p>
              </w:tc>
              <w:tc>
                <w:tcPr>
                  <w:tcW w:type="dxa" w:w="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示范水肥一体机</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1.2000*1100*1450mm水肥一体化防护厢体，2.2000*1100*1450mm厢体内安装施肥、过滤设备和水肥控制柜；</w:t>
                  </w:r>
                </w:p>
                <w:p>
                  <w:pPr>
                    <w:pStyle w:val="null3"/>
                  </w:pPr>
                  <w:r>
                    <w:rPr>
                      <w:rFonts w:ascii="仿宋_GB2312" w:hAnsi="仿宋_GB2312" w:cs="仿宋_GB2312" w:eastAsia="仿宋_GB2312"/>
                      <w:sz w:val="19"/>
                      <w:color w:val="000000"/>
                    </w:rPr>
                    <w:t>3.智能灌溉移动设备车架规格为2000*1000mm。</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3</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座</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300日历天(具体供货进度根据采购人要求执行)</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工程开工后，发包方根据资金到位情况， 按工程进度支付工程款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国家或行业相关规范及采购人要求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自验收合格之日起1年。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向工程所在地人民法院起诉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（一）投标人须保证产品货源渠道正常，确保供应的产品为100%全新正品，无假货、水货、翻新货且无产权纠纷，符合国家行业标准和要求，满足政府采购相关法律要求，提供承诺书。 （二）合同总金额包括但不限于产品费（含相关配件、附件、安装材料）、制造、包装、运输、安装、调试、检测、验收合格交付使用之前及保修期内保修服务等其他有关各项的含税费用。 （三）由投标人自行承担因现场踏勘而产生的费用及安全。 （四）本项目所属行业为：工业。根据《工业和信息化部、国家统计局、国家发展和改革委员会、财政部关于印发中小企业划型标准规定的通知》《工信部联企业(2011)300 号)规定的划分标准，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（五）中标人在领取中标通知书前，须向采购代理机构提供纸质版投标文件 2套（包括投标文件的全部内容）且提供的投标文件必须与在陕西省政府采购综合管理平台的项目电子化交易系统中递交的电子投标文件内容一致。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投标人应具有独立承担民事责任的能力且具备向采购人提供企业法人、其他组织,企业法人应提供统一社会信用代码的营业执照；其他组织应提供合法证明文件；</w:t>
            </w:r>
          </w:p>
        </w:tc>
        <w:tc>
          <w:tcPr>
            <w:tcW w:type="dxa" w:w="1661"/>
          </w:tcPr>
          <w:p>
            <w:pPr>
              <w:pStyle w:val="null3"/>
            </w:pPr>
            <w:r>
              <w:rPr>
                <w:rFonts w:ascii="仿宋_GB2312" w:hAnsi="仿宋_GB2312" w:cs="仿宋_GB2312" w:eastAsia="仿宋_GB2312"/>
              </w:rPr>
              <w:t>资格证明文件资料.docx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财务报告</w:t>
            </w:r>
          </w:p>
        </w:tc>
        <w:tc>
          <w:tcPr>
            <w:tcW w:type="dxa" w:w="3322"/>
          </w:tcPr>
          <w:p>
            <w:pPr>
              <w:pStyle w:val="null3"/>
            </w:pPr>
            <w:r>
              <w:rPr>
                <w:rFonts w:ascii="仿宋_GB2312" w:hAnsi="仿宋_GB2312" w:cs="仿宋_GB2312" w:eastAsia="仿宋_GB2312"/>
              </w:rPr>
              <w:t>提供2024或2025年度经审计的财务报告（包括但不限于审计报告、资产负债表、利润表、现金流量表、所有者权益变动表及财务报表附注等内容，成立时间至提交响应文件截止时间不足一年的可提供成立后任意时段的资产负债表）或开标前六个月内其基本账户银行出具的资信证明或信用担保函，以上三种方式投标人任选其一进行提供；</w:t>
            </w:r>
          </w:p>
        </w:tc>
        <w:tc>
          <w:tcPr>
            <w:tcW w:type="dxa" w:w="1661"/>
          </w:tcPr>
          <w:p>
            <w:pPr>
              <w:pStyle w:val="null3"/>
            </w:pPr>
            <w:r>
              <w:rPr>
                <w:rFonts w:ascii="仿宋_GB2312" w:hAnsi="仿宋_GB2312" w:cs="仿宋_GB2312" w:eastAsia="仿宋_GB2312"/>
              </w:rPr>
              <w:t>资格证明文件资料.docx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提供递交截止时间前6个月内任意一个月的缴费凭据，依法免税的单位应提供相关证明材料；</w:t>
            </w:r>
          </w:p>
        </w:tc>
        <w:tc>
          <w:tcPr>
            <w:tcW w:type="dxa" w:w="1661"/>
          </w:tcPr>
          <w:p>
            <w:pPr>
              <w:pStyle w:val="null3"/>
            </w:pPr>
            <w:r>
              <w:rPr>
                <w:rFonts w:ascii="仿宋_GB2312" w:hAnsi="仿宋_GB2312" w:cs="仿宋_GB2312" w:eastAsia="仿宋_GB2312"/>
              </w:rPr>
              <w:t>资格证明文件资料.docx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提供递交截止时间前6个月内任意一个月的社会保障资金缴存单据或社保机构开具的社会保险参保缴费情况证明，依法不需要缴纳社会保障资金的单位应提供相关证明材料；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具有履行合同所必需的设备和专业技术能力，提供承诺书。</w:t>
            </w:r>
          </w:p>
        </w:tc>
        <w:tc>
          <w:tcPr>
            <w:tcW w:type="dxa" w:w="1661"/>
          </w:tcPr>
          <w:p>
            <w:pPr>
              <w:pStyle w:val="null3"/>
            </w:pPr>
            <w:r>
              <w:rPr>
                <w:rFonts w:ascii="仿宋_GB2312" w:hAnsi="仿宋_GB2312" w:cs="仿宋_GB2312" w:eastAsia="仿宋_GB2312"/>
              </w:rPr>
              <w:t>资格证明文件资料.docx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投标人授权合法的人员参加投标全过程</w:t>
            </w:r>
          </w:p>
        </w:tc>
        <w:tc>
          <w:tcPr>
            <w:tcW w:type="dxa" w:w="3322"/>
          </w:tcPr>
          <w:p>
            <w:pPr>
              <w:pStyle w:val="null3"/>
            </w:pPr>
            <w:r>
              <w:rPr>
                <w:rFonts w:ascii="仿宋_GB2312" w:hAnsi="仿宋_GB2312" w:cs="仿宋_GB2312" w:eastAsia="仿宋_GB2312"/>
              </w:rPr>
              <w:t>投标人授权合法的人员参加投标全过程：法定代表人授权委托书（附法定代表人身份证复印件）及被授权委托人身份证（法定代表人参加投标只须提供法定代表人身份证）及授权代表身份证及被授权人开标前六个月内任意一个月在本单位的社保缴纳证明</w:t>
            </w:r>
          </w:p>
        </w:tc>
        <w:tc>
          <w:tcPr>
            <w:tcW w:type="dxa" w:w="1661"/>
          </w:tcPr>
          <w:p>
            <w:pPr>
              <w:pStyle w:val="null3"/>
            </w:pPr>
            <w:r>
              <w:rPr>
                <w:rFonts w:ascii="仿宋_GB2312" w:hAnsi="仿宋_GB2312" w:cs="仿宋_GB2312" w:eastAsia="仿宋_GB2312"/>
              </w:rPr>
              <w:t>资格证明文件资料.docx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未被列入“信用中国”网站记录的“失信被执行人”或“重大税收违法案件当事人”名单；不得为“中国政府采购网”记录的“政府采购严重违法失信行为记录名单”，提供网页截图，代理机构将对信用记录现场进行查询。（以评审现场查询记录为准）。</w:t>
            </w:r>
          </w:p>
        </w:tc>
        <w:tc>
          <w:tcPr>
            <w:tcW w:type="dxa" w:w="1661"/>
          </w:tcPr>
          <w:p>
            <w:pPr>
              <w:pStyle w:val="null3"/>
            </w:pPr>
            <w:r>
              <w:rPr>
                <w:rFonts w:ascii="仿宋_GB2312" w:hAnsi="仿宋_GB2312" w:cs="仿宋_GB2312" w:eastAsia="仿宋_GB2312"/>
              </w:rPr>
              <w:t>资格证明文件资料.docx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投标承诺</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单位负责人为同一人或者存在直接控股、管理关系的不同投标人，不得参加同一合同项下的政府采购活动（提供控股管理关系清单）</w:t>
            </w:r>
          </w:p>
        </w:tc>
        <w:tc>
          <w:tcPr>
            <w:tcW w:type="dxa" w:w="1661"/>
          </w:tcPr>
          <w:p>
            <w:pPr>
              <w:pStyle w:val="null3"/>
            </w:pPr>
            <w:r>
              <w:rPr>
                <w:rFonts w:ascii="仿宋_GB2312" w:hAnsi="仿宋_GB2312" w:cs="仿宋_GB2312" w:eastAsia="仿宋_GB2312"/>
              </w:rPr>
              <w:t>资格证明文件资料.docx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提供非联合体投标声明</w:t>
            </w:r>
          </w:p>
        </w:tc>
        <w:tc>
          <w:tcPr>
            <w:tcW w:type="dxa" w:w="1661"/>
          </w:tcPr>
          <w:p>
            <w:pPr>
              <w:pStyle w:val="null3"/>
            </w:pPr>
            <w:r>
              <w:rPr>
                <w:rFonts w:ascii="仿宋_GB2312" w:hAnsi="仿宋_GB2312" w:cs="仿宋_GB2312" w:eastAsia="仿宋_GB2312"/>
              </w:rPr>
              <w:t>资格证明文件资料.docx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投标人名称与营业执照一致</w:t>
            </w:r>
          </w:p>
        </w:tc>
        <w:tc>
          <w:tcPr>
            <w:tcW w:type="dxa" w:w="1661"/>
          </w:tcPr>
          <w:p>
            <w:pPr>
              <w:pStyle w:val="null3"/>
            </w:pPr>
            <w:r>
              <w:rPr>
                <w:rFonts w:ascii="仿宋_GB2312" w:hAnsi="仿宋_GB2312" w:cs="仿宋_GB2312" w:eastAsia="仿宋_GB2312"/>
              </w:rPr>
              <w:t>资格证明文件资料.docx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只能有一个有效报价，不得提交选择性报价，且报价不超出最高限价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投标文件的签字、盖章符合招标文件要求</w:t>
            </w:r>
          </w:p>
        </w:tc>
        <w:tc>
          <w:tcPr>
            <w:tcW w:type="dxa" w:w="1661"/>
          </w:tcPr>
          <w:p>
            <w:pPr>
              <w:pStyle w:val="null3"/>
            </w:pPr>
            <w:r>
              <w:rPr>
                <w:rFonts w:ascii="仿宋_GB2312" w:hAnsi="仿宋_GB2312" w:cs="仿宋_GB2312" w:eastAsia="仿宋_GB2312"/>
              </w:rPr>
              <w:t>开标一览表 资格证明文件资料.docx 中小企业声明函 商务应答表 承诺书.docx 项目团队人员.docx 产品技术参数表 分项报价表.docx 供货及服务方案.docx 投标函 残疾人福利性单位声明函 标的清单 其他资料.docx 投标文件封面 业绩情况表.docx 监狱企业的证明文件 投标保证金.docx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交货期、交货地点</w:t>
            </w:r>
          </w:p>
        </w:tc>
        <w:tc>
          <w:tcPr>
            <w:tcW w:type="dxa" w:w="3322"/>
          </w:tcPr>
          <w:p>
            <w:pPr>
              <w:pStyle w:val="null3"/>
            </w:pPr>
            <w:r>
              <w:rPr>
                <w:rFonts w:ascii="仿宋_GB2312" w:hAnsi="仿宋_GB2312" w:cs="仿宋_GB2312" w:eastAsia="仿宋_GB2312"/>
              </w:rPr>
              <w:t>应满足招标文件中要求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对招标文件技术、商务要求响应程度</w:t>
            </w:r>
          </w:p>
        </w:tc>
        <w:tc>
          <w:tcPr>
            <w:tcW w:type="dxa" w:w="3322"/>
          </w:tcPr>
          <w:p>
            <w:pPr>
              <w:pStyle w:val="null3"/>
            </w:pPr>
            <w:r>
              <w:rPr>
                <w:rFonts w:ascii="仿宋_GB2312" w:hAnsi="仿宋_GB2312" w:cs="仿宋_GB2312" w:eastAsia="仿宋_GB2312"/>
              </w:rPr>
              <w:t>实质性要求全面响应，不能有任何采购人不能接受的附加条件</w:t>
            </w:r>
          </w:p>
        </w:tc>
        <w:tc>
          <w:tcPr>
            <w:tcW w:type="dxa" w:w="1661"/>
          </w:tcPr>
          <w:p>
            <w:pPr>
              <w:pStyle w:val="null3"/>
            </w:pPr>
            <w:r>
              <w:rPr>
                <w:rFonts w:ascii="仿宋_GB2312" w:hAnsi="仿宋_GB2312" w:cs="仿宋_GB2312" w:eastAsia="仿宋_GB2312"/>
              </w:rPr>
              <w:t>产品技术参数表 商务应答表 承诺书.docx 其他资料.docx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按招标文件要求缴纳投标保证金</w:t>
            </w:r>
          </w:p>
        </w:tc>
        <w:tc>
          <w:tcPr>
            <w:tcW w:type="dxa" w:w="1661"/>
          </w:tcPr>
          <w:p>
            <w:pPr>
              <w:pStyle w:val="null3"/>
            </w:pPr>
            <w:r>
              <w:rPr>
                <w:rFonts w:ascii="仿宋_GB2312" w:hAnsi="仿宋_GB2312" w:cs="仿宋_GB2312" w:eastAsia="仿宋_GB2312"/>
              </w:rPr>
              <w:t>投标保证金.docx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技术要求</w:t>
            </w:r>
          </w:p>
        </w:tc>
        <w:tc>
          <w:tcPr>
            <w:tcW w:type="dxa" w:w="2492"/>
          </w:tcPr>
          <w:p>
            <w:pPr>
              <w:pStyle w:val="null3"/>
            </w:pPr>
            <w:r>
              <w:rPr>
                <w:rFonts w:ascii="仿宋_GB2312" w:hAnsi="仿宋_GB2312" w:cs="仿宋_GB2312" w:eastAsia="仿宋_GB2312"/>
              </w:rPr>
              <w:t>所投产品的技术参数符合招标文件“第三章采购内容及要求”采购清单中的技术要求，产品的技术参数须提供证明资料（不限于检测报告、产品合格证、公开发行的使用手册/说明书、官网产品功能截图、彩页等相关资料加盖厂家公章，证明材料在产品技术参数偏离表中标注准确页码，否则按负偏离对待），产品技术参数有一项负偏离的扣1分，有一项证明资料不齐全按负偏离对待的扣1分，扣完为止；其中标“★”项技术要求为实质性要求，投标人必须响应技术参数要求，如不满足或证明资料不全按不响应采购文件对待。</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供货及服务方案.docx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能提供所投产品的合法来源渠道证明文件（包括但不限于产品制造商授权、销售协议、代理协议、原厂授权等），计2分，提供不全或不提供的不计分。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供货及服务方案.docx</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一、评审内容：投标人针对本项目编制完整安装调试方案包括①安装调试流程；②试运行与验收流程；二、评审标准：1、完整性：方案必须全面，对评审内容中的各项要求有详细描述；2、可实施性：切合本项目实际情况，提出步骤清晰、合理的方案； 三、赋分标准（满分6分）：①安装调试流程每完全满足一个评审标准得1.5分，满分3分。②试运行与验收流程每完全满足一个评审标准得1.5分，满分3分。以上内容存在缺陷，每任意一个缺陷扣0.5分，扣完为止。缺项不得分。 （缺陷是指：提供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供货及服务方案.docx</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一、评审内容：投标人针对本项目编制完整进度计划包括①产品采购及供货进度计划；②进度保证措施；二、评审标准：1、完整性：方案必须全面，对评审内容中的各项要求有详细描述；2、可实施性：切合本项目实际情况，提出步骤清晰、合理的方案； 三、赋分标准（满分8分）：①产品采购及供货进度计划每完全满足一个评审标准得2分，满分4分。②进度保证措施每完全满足一个评审标准得2分，满分4分。以上内容存在缺陷，每任意一个缺陷扣0.5分，扣完为止。缺项不得分。 （缺陷是指：提供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供货及服务方案.docx</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一、评审内容：投标人针对本项目编制完整的安全保障措施包含①现场人员安全保障措施；②设备安装过程安全保障措施；二、评审标准：1、完整性：方案必须全面，对评审内容中的各项要求有详细描述；2、可实施性：切合本项目实际情况，提出步骤清晰、合理的方案； 三、赋分标准（满分4分）：①现场人员安全保障措施每完全满足一个评审标准得1分，满分2分。②设备安装过程安全保障措施每完全满足一个评审标准得1分，满分2分。以上内容存在缺陷，每任意一个缺陷扣0.5分，扣完为止。缺项不得分。 （缺陷是指：提供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供货及服务方案.docx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投标人针对本项目编制完整项目实施过程中的应急预案包含①物流应急预案；②自然灾害应急预案；二、评审标准：1、完整性：方案必须全面，对评审内容中的各项要求有详细描述；2、可实施性：切合本项目实际情况，提出步骤清晰、紧扣实际情况、方案合理； 三、赋分标准（满分4分）：①物流应急预案每完全满足一个评审标准得1分，满分2分。②自然灾害应急预案每完全满足一个评审标准得1分，满分2分。以上内容存在缺陷，每任意一个缺陷扣0.5分，扣完为止。缺项不得分。 （缺陷是指：提供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供货及服务方案.docx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一、评审内容：投标人针对本项目编制完整质量保证措施包括：①产品质量保证措施；②安装调试质量保证措施； 二、评审标准：1、完整性：方案必须全面，对评审内容中的各项要求有详细描述；2、可实施性：切合本项目实际情况，提出步骤清晰、紧扣实际情况、方案合理； 三、赋分标准（满分4分）：①产品质量保证措施：每完全满足一个评审标准得1分，满分2分。 ②安装调试质量保证措施：每完全满足一个评审标准得1分，满分2分；不满足不得分。以上内容存在缺陷，每任意一个缺陷扣0.5分，扣完为止。缺项不得分。 （缺陷是指：提供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供货及服务方案.docx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一、评审内容：投标人针对本项目编制完整售后服务方案包括①售后服务团队建立；②回访及跟踪计划； 二、评审标准：1、可实施性：切合本项目实际情况，提出步骤清晰、合理的方案；2、针对性：方案能够紧扣项目实际情况，内容科学合理。 三、赋分标准（满分4分）：①售后服务团队建立：每完全满足一个评审标准得1分，满分2分；②回访及跟踪计划每完全满足一个评审标准得1分，满分2分；以上内容存在缺陷，每任意一个缺陷扣0.5分，扣完为止。缺项不得分。 （缺陷是指：提供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供货及服务方案.docx</w:t>
            </w:r>
          </w:p>
        </w:tc>
      </w:tr>
      <w:tr>
        <w:tc>
          <w:tcPr>
            <w:tcW w:type="dxa" w:w="831"/>
            <w:vMerge/>
          </w:tcPr>
          <w:p/>
        </w:tc>
        <w:tc>
          <w:tcPr>
            <w:tcW w:type="dxa" w:w="1661"/>
          </w:tcPr>
          <w:p>
            <w:pPr>
              <w:pStyle w:val="null3"/>
            </w:pPr>
            <w:r>
              <w:rPr>
                <w:rFonts w:ascii="仿宋_GB2312" w:hAnsi="仿宋_GB2312" w:cs="仿宋_GB2312" w:eastAsia="仿宋_GB2312"/>
              </w:rPr>
              <w:t>项目团队人员</w:t>
            </w:r>
          </w:p>
        </w:tc>
        <w:tc>
          <w:tcPr>
            <w:tcW w:type="dxa" w:w="2492"/>
          </w:tcPr>
          <w:p>
            <w:pPr>
              <w:pStyle w:val="null3"/>
            </w:pPr>
            <w:r>
              <w:rPr>
                <w:rFonts w:ascii="仿宋_GB2312" w:hAnsi="仿宋_GB2312" w:cs="仿宋_GB2312" w:eastAsia="仿宋_GB2312"/>
              </w:rPr>
              <w:t>一、评审内容：针对投标人提供的项目负责人及团队人员进行评审；二、评审标准：①项目负责人具有相关专业高级技术职称得2分，中级技术职称得1分；②现场团队人员具有相关专业中级及以上技术职称，每1人得1分，最高得4分。 三、赋分标准（满分6分）：①以提供项目负责人职称证书复印件及投标截止时间前近6个月任意一个月社保缴纳证明为评审依据，缺一项证明材料不得分。②以提供现场团队人员职称证书复印件为评审依据，缺少证明材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项目团队人员.docx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提供投标人2023年1月至今类似产品销售业绩（至少应包含核心产品）以加盖公章的合同复印件为准，合同复印件应包含配置页，签署页面。日期以合同签订时间为准，每份计2分，计满6分为止。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业绩情况表.docx</w:t>
            </w:r>
          </w:p>
        </w:tc>
      </w:tr>
      <w:tr>
        <w:tc>
          <w:tcPr>
            <w:tcW w:type="dxa" w:w="831"/>
            <w:vMerge/>
          </w:tcPr>
          <w:p/>
        </w:tc>
        <w:tc>
          <w:tcPr>
            <w:tcW w:type="dxa" w:w="1661"/>
          </w:tcPr>
          <w:p>
            <w:pPr>
              <w:pStyle w:val="null3"/>
            </w:pPr>
            <w:r>
              <w:rPr>
                <w:rFonts w:ascii="仿宋_GB2312" w:hAnsi="仿宋_GB2312" w:cs="仿宋_GB2312" w:eastAsia="仿宋_GB2312"/>
              </w:rPr>
              <w:t>节能环保政策</w:t>
            </w:r>
          </w:p>
        </w:tc>
        <w:tc>
          <w:tcPr>
            <w:tcW w:type="dxa" w:w="2492"/>
          </w:tcPr>
          <w:p>
            <w:pPr>
              <w:pStyle w:val="null3"/>
            </w:pPr>
            <w:r>
              <w:rPr>
                <w:rFonts w:ascii="仿宋_GB2312" w:hAnsi="仿宋_GB2312" w:cs="仿宋_GB2312" w:eastAsia="仿宋_GB2312"/>
              </w:rPr>
              <w:t>1、对列入最新一期节能清单(非强制类)的产品在评审时予以加分，投标人所投产品具有节能认证证书加0.5分； 2、对列入最新一期环境标志产品清单(非强制类)的产品在评审时予以加分，投标人所投产品具有环境标志认证证书加0.5分； 需提供在有效期内的环境标志产品及节能产品证书，无证书不计分。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节能环保政策.docx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投标人的（落实政府采购政策进行价格调整的，以调整后的价格计算）最低报价为基准价得30分，其他各投标人的报价得分按。统一按照下列公式计算：投标报价得分=(基准价／投标报价)×30，计算分数时四舍五入取小数点后两位； 经评委一致认定，投标人的投标报价低于公认市场成本，或超过采购预算,其响应将被拒绝。</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供应商应提供《中小企业声明函》，供应商为监狱企业的，应提供监狱企业的证明文件，供应商为残疾人福利性单位的，应提供《残疾人福利性单位声明函》，否则不享受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详见附件：其他资料.docx</w:t>
      </w:r>
    </w:p>
    <w:p>
      <w:pPr>
        <w:pStyle w:val="null3"/>
        <w:ind w:firstLine="960"/>
      </w:pPr>
      <w:r>
        <w:rPr>
          <w:rFonts w:ascii="仿宋_GB2312" w:hAnsi="仿宋_GB2312" w:cs="仿宋_GB2312" w:eastAsia="仿宋_GB2312"/>
        </w:rPr>
        <w:t>详见附件：投标保证金.docx</w:t>
      </w:r>
    </w:p>
    <w:p>
      <w:pPr>
        <w:pStyle w:val="null3"/>
        <w:ind w:firstLine="960"/>
      </w:pPr>
      <w:r>
        <w:rPr>
          <w:rFonts w:ascii="仿宋_GB2312" w:hAnsi="仿宋_GB2312" w:cs="仿宋_GB2312" w:eastAsia="仿宋_GB2312"/>
        </w:rPr>
        <w:t>详见附件：业绩情况表.docx</w:t>
      </w:r>
    </w:p>
    <w:p>
      <w:pPr>
        <w:pStyle w:val="null3"/>
        <w:ind w:firstLine="960"/>
      </w:pPr>
      <w:r>
        <w:rPr>
          <w:rFonts w:ascii="仿宋_GB2312" w:hAnsi="仿宋_GB2312" w:cs="仿宋_GB2312" w:eastAsia="仿宋_GB2312"/>
        </w:rPr>
        <w:t>详见附件：资格证明文件资料.docx</w:t>
      </w:r>
    </w:p>
    <w:p>
      <w:pPr>
        <w:pStyle w:val="null3"/>
        <w:ind w:firstLine="960"/>
      </w:pPr>
      <w:r>
        <w:rPr>
          <w:rFonts w:ascii="仿宋_GB2312" w:hAnsi="仿宋_GB2312" w:cs="仿宋_GB2312" w:eastAsia="仿宋_GB2312"/>
        </w:rPr>
        <w:t>详见附件：供货及服务方案.docx</w:t>
      </w:r>
    </w:p>
    <w:p>
      <w:pPr>
        <w:pStyle w:val="null3"/>
        <w:ind w:firstLine="960"/>
      </w:pPr>
      <w:r>
        <w:rPr>
          <w:rFonts w:ascii="仿宋_GB2312" w:hAnsi="仿宋_GB2312" w:cs="仿宋_GB2312" w:eastAsia="仿宋_GB2312"/>
        </w:rPr>
        <w:t>详见附件：项目团队人员.docx</w:t>
      </w:r>
    </w:p>
    <w:p>
      <w:pPr>
        <w:pStyle w:val="null3"/>
        <w:ind w:firstLine="960"/>
      </w:pPr>
      <w:r>
        <w:rPr>
          <w:rFonts w:ascii="仿宋_GB2312" w:hAnsi="仿宋_GB2312" w:cs="仿宋_GB2312" w:eastAsia="仿宋_GB2312"/>
        </w:rPr>
        <w:t>详见附件：节能环保政策.docx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