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版本号：ZCSP-渭南高新区-2025-0005020251031001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2025年度渭南高新区良田街道姚家村仓储物流项目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ZCSP-渭南高新区-2025-00050</w:t>
      </w:r>
      <w:r>
        <w:br/>
      </w:r>
      <w:r>
        <w:br/>
      </w:r>
      <w:r>
        <w:br/>
      </w:r>
    </w:p>
    <w:p>
      <w:pPr>
        <w:pStyle w:val="null3"/>
        <w:jc w:val="center"/>
        <w:outlineLvl w:val="2"/>
      </w:pPr>
      <w:r>
        <w:rPr>
          <w:rFonts w:ascii="仿宋_GB2312" w:hAnsi="仿宋_GB2312" w:cs="仿宋_GB2312" w:eastAsia="仿宋_GB2312"/>
          <w:sz w:val="28"/>
          <w:b/>
        </w:rPr>
        <w:t>渭南高新区良田街道办事处</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渭南高新区良田街道办事处</w:t>
      </w:r>
      <w:r>
        <w:rPr>
          <w:rFonts w:ascii="仿宋_GB2312" w:hAnsi="仿宋_GB2312" w:cs="仿宋_GB2312" w:eastAsia="仿宋_GB2312"/>
        </w:rPr>
        <w:t>委托，拟对</w:t>
      </w:r>
      <w:r>
        <w:rPr>
          <w:rFonts w:ascii="仿宋_GB2312" w:hAnsi="仿宋_GB2312" w:cs="仿宋_GB2312" w:eastAsia="仿宋_GB2312"/>
        </w:rPr>
        <w:t>2025年度渭南高新区良田街道姚家村仓储物流项目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2025年度渭南高新区良田街道姚家村仓储物流项目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新建仓库一座，为地上一层，框架结构，总建筑面积约512.24㎡及配套设施。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采购包1（2025年度渭南高新区良田街道姚家村仓储物流项目）：属于专门面向中小企业采购。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渭南高新区良田街道办事处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渭南高新区朝阳大街西段25号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0913-8161367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渭南高新区良田街道办事处</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渭南高新区良田街道办事处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渭南高新区良田街道办事处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949,409.00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2025年度渭南高新区良田街道姚家村仓储物流</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标的名称：2025年度渭南高新区良田街道姚家村仓储物流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新建仓库一座，为地上一层，框架结构，总建筑面积约512.24㎡及配套设施。具体详见工程量清单。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《施工现场临时用电安全技术规范》（JGJ46-88） 《建筑电气工程施工质量验收规范》GB50303-2015 《建设工程施工现场供用电安全规范》（GB 50194-93） 《建设施工安全检查标准》（JGJ59-99） 《建筑与市政工程无障碍通用规范》 GB55019-2021 《工程建设标准强制性条文》（2013年版） 《建筑节能与可再生能源利用通用规范》（GB 55015-2021）； 《安全防范工程通用规范》 （ GB 55029-2022） 《建筑节能与可再生能源利用通用规范》（GB 55015-2021）； 《安全防范工程通用规范》 （GB 55029-2022） 《给水排水管道工程施工及验收规范》（GB50268-2008）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（1）工期：60日历天。 （2）工程地点：渭南高新区良田街道姚家村。（3）质量标准：合格。 （4）质保期：自竣工验收合格之日起一年。 （5）付款方式：1、付款条件说明：本工程付款依据工程进度情况按比例将进度应付款支付给供应商。工程完工后，达到付款条件起 10 日内，支付合同总金额的90.00%；2、付款条件说明: 本工程竣工验收后需要进行结算审计，最终的结算审定金额为本工程的最终应付款，审计报告出具后支付剩余工程款。（6）工程项目建设相关要求：本项目严格执行国家相关标准、行业标准、地方标准等。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供应商类似项目业绩一览表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技术服务合同条款及其他商务要求应答表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技术服务合同条款及其他商务要求应答表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技术服务合同条款及其他商务要求应答表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供应商近三年（2022年10月至今）每具有1项类似业绩得1分，最多得5分，未提供得0分。（提供合同扫描件，以合同签订时间为准）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满足磋商文件要求且最后报价最低的价格为磋商基准价得30分； 其他供应商的价格分按下列公式计算： 磋商报价得分=(磋商基准价／最终磋商报价)×30%×100。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详见附件：施工组织设计及其他证明材料.docx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详见附件：第四章 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