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版本号：ZCSP-渭南高新区-2025-0004520251009001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渭南高新区安全生产技术服务项目(二次)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ZCSP-渭南高新区-2025-00045</w:t>
      </w:r>
      <w:r>
        <w:br/>
      </w:r>
      <w:r>
        <w:br/>
      </w:r>
      <w:r>
        <w:br/>
      </w:r>
    </w:p>
    <w:p>
      <w:pPr>
        <w:pStyle w:val="null3"/>
        <w:jc w:val="center"/>
        <w:outlineLvl w:val="2"/>
      </w:pPr>
      <w:r>
        <w:rPr>
          <w:rFonts w:ascii="仿宋_GB2312" w:hAnsi="仿宋_GB2312" w:cs="仿宋_GB2312" w:eastAsia="仿宋_GB2312"/>
          <w:sz w:val="28"/>
          <w:b/>
        </w:rPr>
        <w:t>渭南高新区应急管理局</w:t>
      </w:r>
    </w:p>
    <w:p>
      <w:pPr>
        <w:pStyle w:val="null3"/>
        <w:jc w:val="center"/>
        <w:outlineLvl w:val="2"/>
      </w:pPr>
      <w:r>
        <w:rPr>
          <w:rFonts w:ascii="仿宋_GB2312" w:hAnsi="仿宋_GB2312" w:cs="仿宋_GB2312" w:eastAsia="仿宋_GB2312"/>
          <w:sz w:val="28"/>
          <w:b/>
        </w:rPr>
        <w:t>陕西月照花林项目管理有限公司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陕西月照花林项目管理有限公司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渭南高新区应急管理局</w:t>
      </w:r>
      <w:r>
        <w:rPr>
          <w:rFonts w:ascii="仿宋_GB2312" w:hAnsi="仿宋_GB2312" w:cs="仿宋_GB2312" w:eastAsia="仿宋_GB2312"/>
        </w:rPr>
        <w:t>委托，拟对</w:t>
      </w:r>
      <w:r>
        <w:rPr>
          <w:rFonts w:ascii="仿宋_GB2312" w:hAnsi="仿宋_GB2312" w:cs="仿宋_GB2312" w:eastAsia="仿宋_GB2312"/>
        </w:rPr>
        <w:t>渭南高新区安全生产技术服务项目(二次)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ZCSP-渭南高新区-2025-00045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渭南高新区安全生产技术服务项目(二次)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渭南高新区安全生产技术服务项目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采购包1（渭南高新区安全生产技术服务项目）：属于专门面向中小企业采购。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信用：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2、法定代表人或负责人授权书：法定代表人或负责人授权书（附法定代表人、被授权人身份证复印件）及被授权人身份证（法定代表人直接参加投标，须提供法定代表人身份证明及身份证原件）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3、非联合体投标书面声明：本项目不接受联合体投标（提供书面声明）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渭南市高新区香山大道与创业东路交叉口东180米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李欢欣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0913-2580676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陕西月照花林项目管理有限公司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陕西省渭南市临渭区陕西省渭南市高新技术产业开发区3D打印产业培育基地东北角办公楼112室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景莹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18220409893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18691396808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代理服务费收费标准：代理服务费参照《招标代理服务收费管理暂行办法》(计价格(2002)1980号)文件规定的服务类标准计取，由各合同包中标/成交供应商在领取中标/成交通知书前向代理机构一次性足额支付。 单位名称：陕西月照花林项目管理有限公司开户行名称：中国工商银行股份有限公司 咸阳渭阳西路支行账号：2604022409200139540请成交供应商按照要求将服务费汇入 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渭南高新区应急管理局</w:t>
      </w:r>
      <w:r>
        <w:rPr>
          <w:rFonts w:ascii="仿宋_GB2312" w:hAnsi="仿宋_GB2312" w:cs="仿宋_GB2312" w:eastAsia="仿宋_GB2312"/>
        </w:rPr>
        <w:t>和</w:t>
      </w:r>
      <w:r>
        <w:rPr>
          <w:rFonts w:ascii="仿宋_GB2312" w:hAnsi="仿宋_GB2312" w:cs="仿宋_GB2312" w:eastAsia="仿宋_GB2312"/>
        </w:rPr>
        <w:t>陕西月照花林项目管理有限公司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陕西月照花林项目管理有限公司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陕西月照花林项目管理有限公司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陕西月照花林项目管理有限公司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陕西月照花林项目管理有限公司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陕西月照花林项目管理有限公司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联系人：景莹</w:t>
      </w:r>
    </w:p>
    <w:p>
      <w:pPr>
        <w:pStyle w:val="null3"/>
      </w:pPr>
      <w:r>
        <w:rPr>
          <w:rFonts w:ascii="仿宋_GB2312" w:hAnsi="仿宋_GB2312" w:cs="仿宋_GB2312" w:eastAsia="仿宋_GB2312"/>
        </w:rPr>
        <w:t>联系电话：18220409893</w:t>
      </w:r>
    </w:p>
    <w:p>
      <w:pPr>
        <w:pStyle w:val="null3"/>
      </w:pPr>
      <w:r>
        <w:rPr>
          <w:rFonts w:ascii="仿宋_GB2312" w:hAnsi="仿宋_GB2312" w:cs="仿宋_GB2312" w:eastAsia="仿宋_GB2312"/>
        </w:rPr>
        <w:t>地址：陕西省渭南市高新技术产业开发区3D打印产业培育基地东北角办公楼112室</w:t>
      </w:r>
    </w:p>
    <w:p>
      <w:pPr>
        <w:pStyle w:val="null3"/>
      </w:pPr>
      <w:r>
        <w:rPr>
          <w:rFonts w:ascii="仿宋_GB2312" w:hAnsi="仿宋_GB2312" w:cs="仿宋_GB2312" w:eastAsia="仿宋_GB2312"/>
        </w:rPr>
        <w:t>邮编：714026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买安全生产技术服务对渭南高新区危险化学品、工贸等重点行业领域进行安全检查、隐患治理、重大危险源管理、预案编制、应急处置、教育培训等；需满足的要求:需要具备对危险化学品、工贸等重点行业领域进行安全检查、隐患治理、重大危险源管理、预案编制、应急处置、教育培训等的专业技术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渭南高新区安全生产技术服务项目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标的名称：渭南高新区安全生产技术服务项目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 xml:space="preserve">  </w:t>
            </w:r>
          </w:p>
          <w:p>
            <w:pPr>
              <w:pStyle w:val="null3"/>
              <w:ind w:firstLine="480"/>
              <w:jc w:val="left"/>
            </w:pPr>
            <w:r>
              <w:rPr>
                <w:rFonts w:ascii="仿宋_GB2312" w:hAnsi="仿宋_GB2312" w:cs="仿宋_GB2312" w:eastAsia="仿宋_GB2312"/>
                <w:sz w:val="24"/>
                <w:color w:val="000000"/>
              </w:rPr>
              <w:t>购买安全生产技术服务对渭南高新区危险化学品、工贸等重点行业领域进行安全检查、隐患治理、重大危险源管理、预案编制、应急处置、教育培训等；需满足的要求</w:t>
            </w:r>
            <w:r>
              <w:rPr>
                <w:rFonts w:ascii="仿宋_GB2312" w:hAnsi="仿宋_GB2312" w:cs="仿宋_GB2312" w:eastAsia="仿宋_GB2312"/>
                <w:sz w:val="24"/>
                <w:color w:val="000000"/>
              </w:rPr>
              <w:t>:需要具备对危险化学品、工贸等重点行业领域进行安全检查、隐患治理、重大危险源管理、预案编制、应急处置、教育培训等的专业技术能力。</w:t>
            </w:r>
          </w:p>
          <w:p>
            <w:pPr>
              <w:pStyle w:val="null3"/>
              <w:jc w:val="both"/>
            </w:pPr>
            <w:r>
              <w:rPr>
                <w:rFonts w:ascii="仿宋_GB2312" w:hAnsi="仿宋_GB2312" w:cs="仿宋_GB2312" w:eastAsia="仿宋_GB2312"/>
                <w:sz w:val="24"/>
                <w:b/>
              </w:rPr>
              <w:t>具体要求</w:t>
            </w:r>
            <w:r>
              <w:rPr>
                <w:rFonts w:ascii="仿宋_GB2312" w:hAnsi="仿宋_GB2312" w:cs="仿宋_GB2312" w:eastAsia="仿宋_GB2312"/>
                <w:sz w:val="24"/>
                <w:b/>
              </w:rPr>
              <w:t>：</w:t>
            </w:r>
            <w:r>
              <w:rPr>
                <w:rFonts w:ascii="仿宋_GB2312" w:hAnsi="仿宋_GB2312" w:cs="仿宋_GB2312" w:eastAsia="仿宋_GB2312"/>
                <w:sz w:val="24"/>
                <w:b/>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）提供专业技术指导，协助应急管理局开展危险化学品、</w:t>
            </w:r>
            <w:r>
              <w:rPr>
                <w:rFonts w:ascii="仿宋_GB2312" w:hAnsi="仿宋_GB2312" w:cs="仿宋_GB2312" w:eastAsia="仿宋_GB2312"/>
                <w:sz w:val="24"/>
                <w:color w:val="000000"/>
              </w:rPr>
              <w:t>工贸等重点行业领域</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安全检查、隐患治理</w:t>
            </w:r>
            <w:r>
              <w:rPr>
                <w:rFonts w:ascii="仿宋_GB2312" w:hAnsi="仿宋_GB2312" w:cs="仿宋_GB2312" w:eastAsia="仿宋_GB2312"/>
                <w:sz w:val="24"/>
                <w:color w:val="000000"/>
              </w:rPr>
              <w:t>等</w:t>
            </w:r>
            <w:r>
              <w:rPr>
                <w:rFonts w:ascii="仿宋_GB2312" w:hAnsi="仿宋_GB2312" w:cs="仿宋_GB2312" w:eastAsia="仿宋_GB2312"/>
                <w:sz w:val="24"/>
                <w:color w:val="000000"/>
              </w:rPr>
              <w:t>工作；危化品等重点领域每季度至少覆盖检查一次，工贸领域每半年至少覆盖检查一次。</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）协助应急管理局加强危险化学品安全监管，对企业加强安全管理提供技术支持。</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）对日常安全生产检查数据进行汇总、分析、研判，提出改进和加强安全生产工作的意见建议。</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）协助应急管理局督促企业推进安全生产标准化建设，督促企业健全全员全岗位安全生产责任制。</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）对区级、部门及企业安全生产应急预案编制、修订及应急演练策划进行技术指导，协助应急管理局开展生产安全事故调查工作，对事故应急救援提供技术服务。</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）协助应急管理局开展安全生产教育培训、安全生产宣传工作。</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）协助应急管理局完成其他工作任务。</w:t>
            </w:r>
          </w:p>
          <w:p>
            <w:pPr>
              <w:pStyle w:val="null3"/>
              <w:jc w:val="both"/>
            </w:pPr>
            <w:r>
              <w:rPr>
                <w:rFonts w:ascii="仿宋_GB2312" w:hAnsi="仿宋_GB2312" w:cs="仿宋_GB2312" w:eastAsia="仿宋_GB2312"/>
                <w:sz w:val="24"/>
                <w:color w:val="000000"/>
              </w:rPr>
              <w:t>以上要求，包含但不限于。</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自服务合同签订之日起1年（第1年服务期满后，由采购人进行考核，考核合格后由采购人和供应商进行洽谈，在服务内容和价格不变的情况下续签第2年度服务合同；合同签订累计时长不超过2个年度）。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1、合同文本、合同附件、招标文件、投标文件。2、服务期内的过程资料。3、国内响应的标准、规范。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合同签订后半年支付一次，采购人对供应商每半年进行一次考核，合格后支付合同总额50%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服务期满一年，采购人对供应商进行考核，合格后支付剩余部分。甲方付款前，乙方开具合同价款的全额发票给甲方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并按照合同总额30%向乙方主张违约金，违约金不足以弥补甲方损失的，乙方还应予以补足，同时甲方有权按政府采购法的有关规定对其进行相应的处罚。 4、双方在合同履行过程中产生争议的，首先应友好协商解决。协商不成的，双方均有权向渭南仲裁委员会申请仲裁。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成交结果公示发布后，成交供应商须向采购代理机构提供一正两副（和上传文件保持一致的）纸质投标（响应）文件用于备案及档案保存。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定代表人身份证明、营业执照：提供合格有效的法人或者其他组织的营业执照等证明文件，自然人的身份证明；供应商是法人或其他组织的应提供营业执照等证明文件，供应商是自然人的应提供有效的自然人身份证明 2、财务状况报告：提供2024年度经审计的财务报告（成立时间至提交投标文件截止时间不足一年的可提供成立后任意时段的资产负债表），或提交开标前六个月内银行出具的资信证明，或信用担保机构出具的投标担保函（以上三种形式的资料提供任何一种即可）；其他组织和自然人提供银行出具的资信证明或财务报表 3、税收缴纳证明：提供投标截止之日前近六个月内至少一个月的纳税证明或完税证明（增值税，印花税，城市维护建设费，企业所得税等一种或多种税种）（以上两种形式的资料提供任何一种即可），依法免税的单位应提供相关证明材料 4、社会保障资金缴纳证明：提供投标截止之日前近六个月内至少一个月的社会保障资金缴存单据或社保机构开具的社会保险参保缴费情况证明（以上两种形式的资料提供任何一种即可），依法不需要缴纳社会保障资金的单位应提供相关证明材料 5、提供具有履行合同所必需的设备和专业技术能力的承诺 6、参加政府采购活动前3年内在经营活动中没有重大违法记录的书面声明 7、具备法律、行政法规规定的其他条件(由供应商根据项目需求提供说明材料或者承诺)；供应商需在项目电子化交易系统中按要求填写《投标函》完成承诺，提交相应资格证明文件并进行电子签章。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提交开标前六个月内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法定代表人或负责人授权书</w:t>
            </w:r>
          </w:p>
        </w:tc>
        <w:tc>
          <w:tcPr>
            <w:tcW w:type="dxa" w:w="3322"/>
          </w:tcPr>
          <w:p>
            <w:pPr>
              <w:pStyle w:val="null3"/>
            </w:pPr>
            <w:r>
              <w:rPr>
                <w:rFonts w:ascii="仿宋_GB2312" w:hAnsi="仿宋_GB2312" w:cs="仿宋_GB2312" w:eastAsia="仿宋_GB2312"/>
              </w:rPr>
              <w:t>法定代表人或负责人授权书（附法定代表人、被授权人身份证复印件）及被授权人身份证（法定代表人直接参加投标，须提供法定代表人身份证明及身份证原件）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中小企业声明函 残疾人福利性单位声明函 服务方案 标的清单 报价表 响应函 商务和技术偏差表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中小企业声明函 残疾人福利性单位声明函 服务方案 标的清单 报价表 响应函 商务和技术偏差表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 1、项目认知层次清晰、针对性强、与采购内容的吻合程度高的，得6分；项目认知逻辑层次较清晰、针对性较强、与采购内容的吻合程度一般，内容较简单的，得4分；项目认知层次不清晰、不全面，得2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1、安全检查方案 检查内容涵盖危险化学品、工贸等重点行业领域所有关键环节，检查方法包含现场勘查、资料审查、仪器检测等 3 种及以上，明确检查频次和责任人，得 7 分；检查内容涵盖大部分关键环节，检查方法包含 2 种，明确检查频次，得 4 分；检查内容涵盖部分关键环节，检查方法单一，未明确检查频次，得 2 分。未提供不得分 2、隐患治理方案 针对不同类型隐患提出的治理措施科学合理，具有可操作性，治理计划明确每个隐患的整改时限、责任人和验收标准，得 7 分；针对主要隐患提出的治理措施基本合理，治理计划明确主要隐患的整改时限和责任人，得 4 分；治理措施缺乏针对性，治理计划不完整，得 2 分。未提供不得分 3、重大危险源管理方案 明确重大危险源辨识的依据和方法，评估全面准确，监控措施包含实时监测、定期检查等，管理措施涵盖登记、备案、应急准备等，得 7 分；重大危险源辨识方法基本合理，评估较全面，监控和管理措施基本具备，得 4 分；重大危险源辨识不清晰，评估简单，监控和管理措施不完善，得 2 分。 未提供不得分 4、预案编制和应急处置方案 预案编制符合国家相关标准，应急处置流程包含接警、响应、救援、善后等所有环节，应急救援措施配备齐全的物资和专业队伍，得 7 分；预案编制基本符合标准，应急处置流程涵盖主要环节，应急救援措施配备部分物资和队伍，得 4 分；预案编制不符合标准，应急处置流程混乱，应急救援措施缺失，得 2 分。未提供不得分 5、教育培训方案 培训内容针对危险化学品、工贸等行业特点和常见安全问题，培训计划明确每月培训主题和时长，得 7 分；培训内容基本贴合行业特点，培训计划明确季度培训安排，得 4 分；培训内容与行业需求脱节，培训方式单一，培训计划不明确，得2 分。未提供不得分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对本项目提供服务质量保证措施。 1、保证措施完善、合理可行，得 6 分；保证措施内容简单基本满足项目要求，得4分;方案内容欠缺，难以满足项目实施计，得2分。未提供的不得分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对本项目有明确的合理化建议。 1、建议内容合理，针对性强、明确、全面得7分；建议内容有针对性，但尚有优化空间得4分；建议内容不完善、表述前后不一致、得2分；未提供不得分。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对项目安全保密职责提供具体的保密措施 1、保密措施内容详细完整，且利于项目实施的得 7分；保密措施内容满足本项目需求合理且不影响项目实施的得4分；保密措施内容有欠缺，影响到项目实施的得 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1.服务团队人员专业结构合理，流程熟悉等，具备处理复杂问题的能力，逻辑结构清晰且具有针对性，得4分。 服务团队人员专业结构较合理，流程熟悉等，配备方案含糊合理性不足，逻辑结构不清晰，得2 分；未提供不得分 2.配备一定数量的注册安全工程师、安全评价师等专业技术人员，每有 1 名注册安全工程师得 3 分，每有 1 名安全评价师得 1.5 分，本项最高得 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2019年1月1日至今类似项目业绩，每提供一个得2分，最高得10分:业绩资料提供复印件加盖公章(以合同签订时间或中标通知书为准)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采用低价优先法计算，即通过资格审查和符合性审查且最后报价最低的供应商的价格为磋商基准价，其价格分为满分。磋商报价得分=（磋商基准价/最后磋商报价）×20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详见附件：商务和技术偏差表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