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版本号：ZCSP-渭南高新区-2025-0004920251102001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2025年度渭南高新区良田街道庙南村农产品仓储及基础设施项目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ZCSP-渭南高新区-2025-00049</w:t>
      </w:r>
      <w:r>
        <w:br/>
      </w:r>
      <w:r>
        <w:br/>
      </w:r>
      <w:r>
        <w:br/>
      </w:r>
    </w:p>
    <w:p>
      <w:pPr>
        <w:pStyle w:val="null3"/>
        <w:jc w:val="center"/>
        <w:outlineLvl w:val="2"/>
      </w:pPr>
      <w:r>
        <w:rPr>
          <w:rFonts w:ascii="仿宋_GB2312" w:hAnsi="仿宋_GB2312" w:cs="仿宋_GB2312" w:eastAsia="仿宋_GB2312"/>
          <w:sz w:val="28"/>
          <w:b/>
        </w:rPr>
        <w:t>渭南高新区良田街道办事处</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渭南高新区良田街道办事处</w:t>
      </w:r>
      <w:r>
        <w:rPr>
          <w:rFonts w:ascii="仿宋_GB2312" w:hAnsi="仿宋_GB2312" w:cs="仿宋_GB2312" w:eastAsia="仿宋_GB2312"/>
        </w:rPr>
        <w:t>委托，拟对</w:t>
      </w:r>
      <w:r>
        <w:rPr>
          <w:rFonts w:ascii="仿宋_GB2312" w:hAnsi="仿宋_GB2312" w:cs="仿宋_GB2312" w:eastAsia="仿宋_GB2312"/>
        </w:rPr>
        <w:t>2025年度渭南高新区良田街道庙南村农产品仓储及基础设施项目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2025年度渭南高新区良田街道庙南村农产品仓储及基础设施项目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新建标准化钢结构厂房一座，及其配套设施。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采购包1（2025年度渭南高新区良田街道庙南村农产品仓储及基础设施项目）：属于专门面向中小企业采购。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1、企业资质：供应商须具备建筑工程施工总承包三级（含三级）及以上资质，并具有有效的安全生产许可证；</w:t>
      </w:r>
    </w:p>
    <w:p>
      <w:pPr>
        <w:pStyle w:val="null3"/>
      </w:pPr>
      <w:r>
        <w:rPr>
          <w:rFonts w:ascii="仿宋_GB2312" w:hAnsi="仿宋_GB2312" w:cs="仿宋_GB2312" w:eastAsia="仿宋_GB2312"/>
        </w:rPr>
        <w:t>2、项目经理：拟派项目经理须具有建筑工程二级（含二级）及以上注册建造师资格并具有有效的安全生产考核合格证，且无在建工程；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渭南高新区良田街道办事处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渭南高新区朝阳大街西段25号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0913-8161367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贺小静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18691396808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渭南高新区良田街道办事处</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渭南高新区良田街道办事处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渭南高新区良田街道办事处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1、供应商必须保证本工程质量，并按相关规定，办理工程质量检测手续，向采购人提交工程质量报告。 2、本工程以施工图纸、作法说明、设计变更等国家制订的施工及验收规范为本工程质量评定验收标准。 3、供应商应及时通知采购人对施工过程中的隐蔽工程进行检查和验收，并做好验收记录。如不及时参加验收，供应商可自行验收，采购人应予承认。 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 5、在验收过程中发现供应商有违约问题，应向财政部门建议暂缓资金结算，待违约问题解决后，方可办理资金结算事宜。</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1,145,036.97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2025年度渭南高新区良田街道庙南村农产品仓储及基础设施</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标的名称：2025年度渭南高新区良田街道庙南村农产品仓储及基础设施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新建标准化钢结构厂房一座，及其配套设施。</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满足国家相关标准、行业标准、地方标准或者其他标准、规范标准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（1）工期：60日历天。 （2）工程地点：良田街道办庙南村。 （3）质量标准：合格，达到国家现行技术标准。 （4）质保期：自竣工验收合格之日起一年。 （5）付款方式：1、付款条件说明：本工程付款依据工程进度情况按比例将进度应付款支付给供应商。工程完工后，达到付款条件起 10 日内，支付至合同总金额的90.00%；2、付款条件说明: 本工程竣工验收后需要进行结算审计，最终的结算审定金额为本工程的最终合同价款；工程结算审计后采购人付清剩余价款。（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1.根据《政府采购法实施条例》释义，银行、保险、石油石化、电力、电信等有行业特殊情况的，允许法人的分支机构参加政府采购活动。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 4.中小企业划型标准：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合法有效，提供具有独立承担民事责任的能力的证明材料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本项目专门面向中小企业采购，供应商应为中型、小型或微型企业。本项目所属行业为：建筑业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拟派项目经理须具有建筑工程二级（含二级）及以上注册建造师资格并具有有效的安全生产考核合格证，且无在建工程；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无其他无效磋商处理的情况</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评审得分相同的，按照最后报价由低到高的顺序推荐。评审得分且最后报价相同的，按照技术指标优劣顺序推荐。评审得分且最后报价且技术指标得分均相同的，由磋商小组无记名投票推荐。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（一）评审内容： 内容至少包括①项目管理机构图；②项目管理人员配备及岗位职责。（二）评审标准：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每提出一条有利于本项目实施的合理化建议得1分。本项最高得6分。未提供或提出的建议与本项目无关或无可行性的得0分。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供应商提供近三年（2022年11月至今）的类似业绩，每提供一份得1分，最多得5分，未提供得0分。（提供合同扫描件，以合同签订时间为准）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满足竞争性磋商文件要求且磋商价格最低的最终磋商报价为磋商基准价，得满分35分； (3) 磋商报价得分=(磋商基准价／最终磋商报价)×35%×100。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