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版本号：ZCSP-渭南高新区-2025-0006020251212001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2025年度渭南高新区信义街道信义村仓储物流项目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ZCSP-渭南高新区-2025-00060</w:t>
      </w:r>
      <w:r>
        <w:br/>
      </w:r>
      <w:r>
        <w:br/>
      </w:r>
      <w:r>
        <w:br/>
      </w:r>
    </w:p>
    <w:p>
      <w:pPr>
        <w:pStyle w:val="null3"/>
        <w:jc w:val="center"/>
        <w:outlineLvl w:val="2"/>
      </w:pPr>
      <w:r>
        <w:rPr>
          <w:rFonts w:ascii="仿宋_GB2312" w:hAnsi="仿宋_GB2312" w:cs="仿宋_GB2312" w:eastAsia="仿宋_GB2312"/>
          <w:sz w:val="28"/>
          <w:b/>
        </w:rPr>
        <w:t>渭南高新区信义街道办事处</w:t>
      </w:r>
    </w:p>
    <w:p>
      <w:pPr>
        <w:pStyle w:val="null3"/>
        <w:jc w:val="center"/>
        <w:outlineLvl w:val="2"/>
      </w:pPr>
      <w:r>
        <w:rPr>
          <w:rFonts w:ascii="仿宋_GB2312" w:hAnsi="仿宋_GB2312" w:cs="仿宋_GB2312" w:eastAsia="仿宋_GB2312"/>
          <w:sz w:val="28"/>
          <w:b/>
        </w:rPr>
        <w:t>陕西琪利达建设项目管理有限公司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陕西琪利达建设项目管理有限公司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渭南高新区信义街道办事处</w:t>
      </w:r>
      <w:r>
        <w:rPr>
          <w:rFonts w:ascii="仿宋_GB2312" w:hAnsi="仿宋_GB2312" w:cs="仿宋_GB2312" w:eastAsia="仿宋_GB2312"/>
        </w:rPr>
        <w:t>委托，拟对</w:t>
      </w:r>
      <w:r>
        <w:rPr>
          <w:rFonts w:ascii="仿宋_GB2312" w:hAnsi="仿宋_GB2312" w:cs="仿宋_GB2312" w:eastAsia="仿宋_GB2312"/>
        </w:rPr>
        <w:t>2025年度渭南高新区信义街道信义村仓储物流项目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ZCSP-渭南高新区-2025-00060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2025年度渭南高新区信义街道信义村仓储物流项目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 年度渭南高新区信义街道信义村仓储物流项目，主要建设内容：新建仓储土建工程、电气工程等工程。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采购包1（2025年度渭南高新区信义街道信义村仓储物流项目）：属于专门面向小微企业采购。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须为具有独立承担民事责任能力的法人、其他组织或自然人；出具合法有效的营业执照或其他组织经营的合法凭证，自然人参与的提供其身份证明；投标人需在项目电子化交易系统中按要求上传相应证明文件并进行电子签章。</w:t>
      </w:r>
    </w:p>
    <w:p>
      <w:pPr>
        <w:pStyle w:val="null3"/>
      </w:pPr>
      <w:r>
        <w:rPr>
          <w:rFonts w:ascii="仿宋_GB2312" w:hAnsi="仿宋_GB2312" w:cs="仿宋_GB2312" w:eastAsia="仿宋_GB2312"/>
        </w:rPr>
        <w:t>2、法定代表人授权委托书：法定代表人参与投标时需提供法定代表人资格证明书（附法定代表人身份证复印件）；被授权人参与投标时需提供法定代表人授权委托书（附法定代表人及被授权人身份证复印件）；投标人需在项目电子化交易系统中按要求上传相应证明文件并进行电子签章。</w:t>
      </w:r>
    </w:p>
    <w:p>
      <w:pPr>
        <w:pStyle w:val="null3"/>
      </w:pPr>
      <w:r>
        <w:rPr>
          <w:rFonts w:ascii="仿宋_GB2312" w:hAnsi="仿宋_GB2312" w:cs="仿宋_GB2312" w:eastAsia="仿宋_GB2312"/>
        </w:rPr>
        <w:t>3、企业资质：供应商须同时具有建设行政主管部门颁发的建筑工程施工总承包三级及以上资质和钢结构工程专业承包三级及以上资质和有效的安全生产许可证；投标人需在项目电子化交易系统中按要求上传相应证明文件并进行电子签章。</w:t>
      </w:r>
    </w:p>
    <w:p>
      <w:pPr>
        <w:pStyle w:val="null3"/>
      </w:pPr>
      <w:r>
        <w:rPr>
          <w:rFonts w:ascii="仿宋_GB2312" w:hAnsi="仿宋_GB2312" w:cs="仿宋_GB2312" w:eastAsia="仿宋_GB2312"/>
        </w:rPr>
        <w:t>4、拟派项目负责人：拟派项目负责人须具有建筑工程专业二级及以上注册建造师证，具备有效的安全生产考核合格证书（安全考核B证），在本单位注册且无在建项目；投标人需在项目电子化交易系统中按要求上传相应证明文件并进行电子签章。</w:t>
      </w:r>
    </w:p>
    <w:p>
      <w:pPr>
        <w:pStyle w:val="null3"/>
      </w:pPr>
      <w:r>
        <w:rPr>
          <w:rFonts w:ascii="仿宋_GB2312" w:hAnsi="仿宋_GB2312" w:cs="仿宋_GB2312" w:eastAsia="仿宋_GB2312"/>
        </w:rPr>
        <w:t>5、税收缴纳证明：提供递交响应文件截止时间前12个月内任意一个月缴纳税收的凭据；依法免税的供应商应提供相关文件证明；投标人需在项目电子化交易系统中按要求上传相应证明文件并进行电子签章。</w:t>
      </w:r>
    </w:p>
    <w:p>
      <w:pPr>
        <w:pStyle w:val="null3"/>
      </w:pPr>
      <w:r>
        <w:rPr>
          <w:rFonts w:ascii="仿宋_GB2312" w:hAnsi="仿宋_GB2312" w:cs="仿宋_GB2312" w:eastAsia="仿宋_GB2312"/>
        </w:rPr>
        <w:t>6、社会保障资金缴纳证明：提供递交响应文件截止时间前12个月内任意一个月的社保资金缴费凭据或社保机构开具的社会保险参保缴费情况证明；投标人需在项目电子化交易系统中按要求上传相应证明文件并进行电子签章。</w:t>
      </w:r>
    </w:p>
    <w:p>
      <w:pPr>
        <w:pStyle w:val="null3"/>
      </w:pPr>
      <w:r>
        <w:rPr>
          <w:rFonts w:ascii="仿宋_GB2312" w:hAnsi="仿宋_GB2312" w:cs="仿宋_GB2312" w:eastAsia="仿宋_GB2312"/>
        </w:rPr>
        <w:t>7、说明及承诺：供应商须提供具有履行合同所必需的设备和专业技术能力的说明及承诺；投标人需在项目电子化交易系统中按要求上传相应证明文件并进行电子签章。</w:t>
      </w:r>
    </w:p>
    <w:p>
      <w:pPr>
        <w:pStyle w:val="null3"/>
      </w:pPr>
      <w:r>
        <w:rPr>
          <w:rFonts w:ascii="仿宋_GB2312" w:hAnsi="仿宋_GB2312" w:cs="仿宋_GB2312" w:eastAsia="仿宋_GB2312"/>
        </w:rPr>
        <w:t>8、声明：参加政府采购活动前 3 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9、信用信息：供应商未被《信用中国》（网站：www.creditchina.gov.cn)列入重大税收违法失信主体、未被《中国执行信息公开网》（网站：http://zxgk.court.gov.cn/shixin/)列入失信被执行人及未被《中国政府采购网》（网站：www.ccgp.gov.cn）列入政府采购严重违法失信行为记录名单。投标人需在项目电子化交易系统中按要求上传相应证明文件并进行电子签章。</w:t>
      </w:r>
    </w:p>
    <w:p>
      <w:pPr>
        <w:pStyle w:val="null3"/>
      </w:pPr>
      <w:r>
        <w:rPr>
          <w:rFonts w:ascii="仿宋_GB2312" w:hAnsi="仿宋_GB2312" w:cs="仿宋_GB2312" w:eastAsia="仿宋_GB2312"/>
        </w:rPr>
        <w:t>10、企业基本信息：供应商企业基本信息应在“陕西省建筑市场监管与诚信信息发布平台（http://jzscyth.shaanxi.gov.cn:7001/PDR/network/credit/home）”可查询；投标人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渭南高新区信义街道办事处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渭南高新区信义街道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0913-3019686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陕西琪利达建设项目管理有限公司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渭南市西三路都市风情写字间401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0913-2555662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开户名称：陕西琪利达建设项目管理有限公司</w:t>
            </w:r>
          </w:p>
          <w:p>
            <w:pPr>
              <w:pStyle w:val="null3"/>
            </w:pPr>
            <w:r>
              <w:rPr>
                <w:rFonts w:ascii="仿宋_GB2312" w:hAnsi="仿宋_GB2312" w:cs="仿宋_GB2312" w:eastAsia="仿宋_GB2312"/>
              </w:rPr>
              <w:t>开户银行：中国农业发展银行渭南市分行</w:t>
            </w:r>
          </w:p>
          <w:p>
            <w:pPr>
              <w:pStyle w:val="null3"/>
            </w:pPr>
            <w:r>
              <w:rPr>
                <w:rFonts w:ascii="仿宋_GB2312" w:hAnsi="仿宋_GB2312" w:cs="仿宋_GB2312" w:eastAsia="仿宋_GB2312"/>
              </w:rPr>
              <w:t>银行账号：20361059900100001091391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渭南高新区信义街道办事处</w:t>
      </w:r>
      <w:r>
        <w:rPr>
          <w:rFonts w:ascii="仿宋_GB2312" w:hAnsi="仿宋_GB2312" w:cs="仿宋_GB2312" w:eastAsia="仿宋_GB2312"/>
        </w:rPr>
        <w:t>和</w:t>
      </w:r>
      <w:r>
        <w:rPr>
          <w:rFonts w:ascii="仿宋_GB2312" w:hAnsi="仿宋_GB2312" w:cs="仿宋_GB2312" w:eastAsia="仿宋_GB2312"/>
        </w:rPr>
        <w:t>陕西琪利达建设项目管理有限公司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渭南高新区信义街道办事处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陕西琪利达建设项目管理有限公司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渭南高新区信义街道办事处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陕西琪利达建设项目管理有限公司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陕西琪利达建设项目管理有限公司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陕西琪利达建设项目管理有限公司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陕西琪利达建设项目管理有限公司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联系人：郑欣</w:t>
      </w:r>
    </w:p>
    <w:p>
      <w:pPr>
        <w:pStyle w:val="null3"/>
      </w:pPr>
      <w:r>
        <w:rPr>
          <w:rFonts w:ascii="仿宋_GB2312" w:hAnsi="仿宋_GB2312" w:cs="仿宋_GB2312" w:eastAsia="仿宋_GB2312"/>
        </w:rPr>
        <w:t>联系电话：0913-2555662</w:t>
      </w:r>
    </w:p>
    <w:p>
      <w:pPr>
        <w:pStyle w:val="null3"/>
      </w:pPr>
      <w:r>
        <w:rPr>
          <w:rFonts w:ascii="仿宋_GB2312" w:hAnsi="仿宋_GB2312" w:cs="仿宋_GB2312" w:eastAsia="仿宋_GB2312"/>
        </w:rPr>
        <w:t>地址：渭南市西三路都市风情写字间401</w:t>
      </w:r>
    </w:p>
    <w:p>
      <w:pPr>
        <w:pStyle w:val="null3"/>
      </w:pPr>
      <w:r>
        <w:rPr>
          <w:rFonts w:ascii="仿宋_GB2312" w:hAnsi="仿宋_GB2312" w:cs="仿宋_GB2312" w:eastAsia="仿宋_GB2312"/>
        </w:rPr>
        <w:t>邮编： 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1,499,989.05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2025年度渭南高新区信义街道信义村仓储物流项目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标的名称：2025年度渭南高新区信义街道信义村仓储物流项目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执行所有现行的国家相关标准、行业标准、地方标准以及其他标准、规范，并统一执行最新标准规范。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（1）合同履行期限：60日历天。（2）项目实施地点：渭南高新区信义街道信义村。（3）质量标准：合格。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提供具有财务审计资质单位出具的2024年度财务审计报告（成立时间至开标时间不足一年的可提供成立后任意时段的资产负债表）或开标前六个月内其基本账户银行出具的资信证明（附基本账户证明）或政府采购信用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其他组织经营的合法凭证，自然人参与的提供其身份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与投标时需提供法定代表人资格证明书（附法定代表人身份证复印件）；被授权人参与投标时需提供法定代表人授权委托书（附法定代表人及被授权人身份证复印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同时具有建设行政主管部门颁发的建筑工程施工总承包三级及以上资质和钢结构工程专业承包三级及以上资质和有效的安全生产许可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有建筑工程专业二级及以上注册建造师证，具备有效的安全生产考核合格证书（安全考核B证），在本单位注册且无在建项目；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提供递交响应文件截止时间前12个月内任意一个月缴纳税收的凭据；依法免税的供应商应提供相关文件证明；投标人需在项目电子化交易系统中按要求上传相应证明文件并进行电子签章。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提供递交响应文件截止时间前12个月内任意一个月的社保资金缴费凭据或社保机构开具的社会保险参保缴费情况证明；投标人需在项目电子化交易系统中按要求上传相应证明文件并进行电子签章。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w:t>
            </w:r>
          </w:p>
        </w:tc>
        <w:tc>
          <w:tcPr>
            <w:tcW w:type="dxa" w:w="3322"/>
          </w:tcPr>
          <w:p>
            <w:pPr>
              <w:pStyle w:val="null3"/>
            </w:pPr>
            <w:r>
              <w:rPr>
                <w:rFonts w:ascii="仿宋_GB2312" w:hAnsi="仿宋_GB2312" w:cs="仿宋_GB2312" w:eastAsia="仿宋_GB2312"/>
              </w:rPr>
              <w:t>供应商须提供具有履行合同所必需的设备和专业技术能力的说明及承诺；投标人需在项目电子化交易系统中按要求上传相应证明文件并进行电子签章。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企业基本信息</w:t>
            </w:r>
          </w:p>
        </w:tc>
        <w:tc>
          <w:tcPr>
            <w:tcW w:type="dxa" w:w="3322"/>
          </w:tcPr>
          <w:p>
            <w:pPr>
              <w:pStyle w:val="null3"/>
            </w:pPr>
            <w:r>
              <w:rPr>
                <w:rFonts w:ascii="仿宋_GB2312" w:hAnsi="仿宋_GB2312" w:cs="仿宋_GB2312" w:eastAsia="仿宋_GB2312"/>
              </w:rPr>
              <w:t>供应商企业基本信息应在“陕西省建筑市场监管与诚信信息发布平台（http://jzscyth.shaanxi.gov.cn:7001/PDR/network/credit/home）”可查询；投标人需在项目电子化交易系统中按要求上传相应证明文件并进行电子签章。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响应文件的签字盖章是否按磋商文件要求</w:t>
            </w:r>
          </w:p>
        </w:tc>
        <w:tc>
          <w:tcPr>
            <w:tcW w:type="dxa" w:w="1661"/>
          </w:tcPr>
          <w:p>
            <w:pPr>
              <w:pStyle w:val="null3"/>
            </w:pPr>
            <w:r>
              <w:rPr>
                <w:rFonts w:ascii="仿宋_GB2312" w:hAnsi="仿宋_GB2312" w:cs="仿宋_GB2312" w:eastAsia="仿宋_GB2312"/>
              </w:rPr>
              <w:t>已标价工程量清单 磋商保证金.docx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自响应文件递交截止之日起 90 个日历天</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投标人的报价明显低于其他通过符合性审查投标人的报价，有可能影响服务质量或者不能诚信履约的，且投标人不能证明其报价合理性的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投标内容出现漏项达不到磋商文件要求。</w:t>
            </w:r>
          </w:p>
        </w:tc>
        <w:tc>
          <w:tcPr>
            <w:tcW w:type="dxa" w:w="1661"/>
          </w:tcPr>
          <w:p>
            <w:pPr>
              <w:pStyle w:val="null3"/>
            </w:pPr>
            <w:r>
              <w:rPr>
                <w:rFonts w:ascii="仿宋_GB2312" w:hAnsi="仿宋_GB2312" w:cs="仿宋_GB2312" w:eastAsia="仿宋_GB2312"/>
              </w:rPr>
              <w:t>响应文件封面 投标方案.docx 已标价工程量清单 磋商保证金.docx 项目管理机构组成表 中小企业声明函 技术服务合同条款及其他商务要求应答表 供应商应提交的相关资格证明材料 供应商类似项目业绩一览表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磋商保证金缴纳凭证复印件</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1、方案内容完整，针对性强，施工方法得当得(6-8]分； 2、方案内容较完整，针对性较强，施工方法较得当得(4-6]分； 3、方案内容一般，针对性一般，施工方法基本全面得(2-4]分； 4、方案内容不完整，针对性差，施工方法较差得(0-2]分； 5、未提供施工方案不得分。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1、技术组织措施详细，进度管理目标明确，工期进度保证措施经济性、合理性、可行性及针对性强得(3-5]分； 2、技术组织措施较详细，进度管理目标较明确，工期进度保证措施经济性、合理性、可行性及针对性较强得(2-3]分； 3、技术组织措施基本详细，进度管理目标基本明确，工期进度保证措施经济性、合理性、可行性及针对性一般得(1-2]分； 4、技术组织措施不详细，进度管理目标不明确，工期进度保证措施经济性、合理性、可行性及针对性差得(0-1]分； 5、未提供确保工期的技术组织措施不得分。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1、技术组织措施详细，质量管理目标明确，质量保证承诺全面，质量保证措施经济性、合理性、可行性及针对性强得(6-8]分； 2、技术组织措施较详细，质量管理目标较明确，质量保证承诺较全面，质量保证措施经济性、合理性、可行性及针对性较强得(4-6]分； 3、技术组织措施基本详细，质量管理目标基本明确，质量保证承诺基本全面，质量保证措施经济性、合理性、可行性及针对性一般得(2-4]分； 4、技术组织措施不详细，质量管理目标不明确，质量保证承诺不全面，质量保证措施经济性、合理性、可行性及针对性差得(0-2]分； 5、未提供确保质量的技术组织措施不得分。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1、技术组织措施详细，安全管理目标明确，安全保证措施的经济性、合理性、可行性及针对性强得(3-5]分； 2、技术组织措施较详细，安全管理目标较明确，安全保证措施的经济性、合理性、可行性及针对性较强得(2-3]分； 3、技术组织措施基本详细，安全管理目标基本明确，安全保证措施的经济性、合理性、可行性及针对性一般得(1-2]分； 4、技术组织措施不详细，安全管理目标不明确，安全保证措施的经济性、合理性、可行性及针对性差得(0-1分； 5、未提供确保安全生产的技术组织措施不得分。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1、措施详细，目标明确，经济型、合理性、可行性及针对性强得(3-5]分； 2、措施较详细，目标较明确，经济型、合理性、可行性及针对性较强得(2-3]分 3、措施基本详细，目标基本明确，经济型、合理性、可行性及针对性一般得(1-2]分； 4、措施不详细，目标不明确，经济型、合理性、可行性及针对性差得(0-1]分； 5、未提供确保文明施工的技术组织措施及环境保护措施不得分。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1、项目经理部人员及劳动力配备计划合理，分工明确，职责清晰得(6-8]分； 2、项目经理部人员及劳动力配备计划较合理，分工较明确，职责较清晰得(4-6]分； 3、项目经理部人员及劳动力配备计划较合理，分工基本明确，职责较清晰得(2-4]分； 4、项目经理部人员及劳动力配备计划不合理，分工不明确，职责不清晰得(0-2]分； 5、未提供项目经理部组成及劳动力配备计划不得分。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设备投入计划</w:t>
            </w:r>
          </w:p>
        </w:tc>
        <w:tc>
          <w:tcPr>
            <w:tcW w:type="dxa" w:w="2492"/>
          </w:tcPr>
          <w:p>
            <w:pPr>
              <w:pStyle w:val="null3"/>
            </w:pPr>
            <w:r>
              <w:rPr>
                <w:rFonts w:ascii="仿宋_GB2312" w:hAnsi="仿宋_GB2312" w:cs="仿宋_GB2312" w:eastAsia="仿宋_GB2312"/>
              </w:rPr>
              <w:t>1、施工设备配备齐全，针对性强，投入计划合理得(3-5]分； 2、施工设备配备较齐全，针对性较强，投入计划较合理得(2-3]分； 3、施工设备配备齐全，针对性一般，投入计划一般得(1-2]分； 4、施工设备配备不齐全，针对性差，投入计划不合理得(0-1]分； 5、未提供设备投入计划不得分。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施工进度表及施工现场平面布置图</w:t>
            </w:r>
          </w:p>
        </w:tc>
        <w:tc>
          <w:tcPr>
            <w:tcW w:type="dxa" w:w="2492"/>
          </w:tcPr>
          <w:p>
            <w:pPr>
              <w:pStyle w:val="null3"/>
            </w:pPr>
            <w:r>
              <w:rPr>
                <w:rFonts w:ascii="仿宋_GB2312" w:hAnsi="仿宋_GB2312" w:cs="仿宋_GB2312" w:eastAsia="仿宋_GB2312"/>
              </w:rPr>
              <w:t>1、施工进度表编制完整，整体及各阶段施工进度计划明确科学合理。施工总平面布置图、平面布置合理，内容齐全，切实可行的得(3-5]分； 2、施工进度表编制较完整，整体及各阶段施工进度计划较明确、科学合理施工总平面布置图平面布置较合理，内容较齐全，较切实可行的得(2-3]分； 3、施工进度表整体及各阶段施工进度计划简单。施工总平面布置图、平面布置般，内容一般的得(1-2]分； 4、施工进度表整体及各阶段施工进度计划准备较差。施工总平面布置图、平面布置不合理的得(0-1]分； 5、未提供施工进度表及施工现场平面布置图不得分。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项目实施过程中可能出现的应急事件及处置措施等。 1、应急事件考虑周全、预案制定合理，处置措施得当得(3-5]分； 2、应急事件考虚较周全、预案制定较合理，处置措施较得当得(2-3]分； 3、应急事件考虑基本周全、预案制定一般处置措施一般得(1-2]分； 4、应急事件考虑不周全、预案制定不合理，处置措施不得当得(0-1]分； 5、未提供应急预案不得分。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针对项目特点提供切实可行的后续服务承诺。 1、承诺详细全面、指标明确，切实可行得(5-6]分； 2、承诺较详细、较全面、指标基本明确，可行性一般得(3-5]分； 3、承诺内容一般、可行性一般得(1-3]分； 4、承诺不详细、指标不明确，可行性差得(0-1]分； 5、未提供服务承诺不得分。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投标人需提供 2022 年 12月 1 日以来独立承担过类似项目业绩，每个业绩计 2.5分，最高计5 分。 注：业绩证明文件以合同或中标通知书复印件为准，时间以合同签订时间为准，未提供或不清晰导致无法识别的不予认可。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 (2）满足竞争性磋商文件要求且磋商价格最低的最终磋商报价为评审基准价，得满分35分； (3）磋商报价得分=(评审基准价／最终磋商报价）×35%X100。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