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版本号：ZCSP-渭南高新区-2025-00062-ZK25（01018）20251221001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渭南高新区零工市场（驿站）规范化运营管理服务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ZCSP-渭南高新区-2025-00062-ZK25（01018）</w:t>
      </w:r>
      <w:r>
        <w:br/>
      </w:r>
      <w:r>
        <w:br/>
      </w:r>
      <w:r>
        <w:br/>
      </w:r>
    </w:p>
    <w:p>
      <w:pPr>
        <w:pStyle w:val="null3"/>
        <w:jc w:val="center"/>
        <w:outlineLvl w:val="2"/>
      </w:pPr>
      <w:r>
        <w:rPr>
          <w:rFonts w:ascii="仿宋_GB2312" w:hAnsi="仿宋_GB2312" w:cs="仿宋_GB2312" w:eastAsia="仿宋_GB2312"/>
          <w:sz w:val="28"/>
          <w:b/>
        </w:rPr>
        <w:t>渭南高新区劳动就业服务中心</w:t>
      </w:r>
    </w:p>
    <w:p>
      <w:pPr>
        <w:pStyle w:val="null3"/>
        <w:jc w:val="center"/>
        <w:outlineLvl w:val="2"/>
      </w:pPr>
      <w:r>
        <w:rPr>
          <w:rFonts w:ascii="仿宋_GB2312" w:hAnsi="仿宋_GB2312" w:cs="仿宋_GB2312" w:eastAsia="仿宋_GB2312"/>
          <w:sz w:val="28"/>
          <w:b/>
        </w:rPr>
        <w:t>正凯建设项目管理有限公司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正凯建设项目管理有限公司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渭南高新区劳动就业服务中心</w:t>
      </w:r>
      <w:r>
        <w:rPr>
          <w:rFonts w:ascii="仿宋_GB2312" w:hAnsi="仿宋_GB2312" w:cs="仿宋_GB2312" w:eastAsia="仿宋_GB2312"/>
        </w:rPr>
        <w:t>委托，拟对</w:t>
      </w:r>
      <w:r>
        <w:rPr>
          <w:rFonts w:ascii="仿宋_GB2312" w:hAnsi="仿宋_GB2312" w:cs="仿宋_GB2312" w:eastAsia="仿宋_GB2312"/>
        </w:rPr>
        <w:t>渭南高新区零工市场（驿站）规范化运营管理服务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ZCSP-渭南高新区-2025-00062-ZK25（01018）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渭南高新区零工市场（驿站）规范化运营管理服务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推进党中央、国务院关于支持多渠道灵活就业的决策部署，向零工群体提供零工候工、就业推荐、用工需求调查、政策咨询、劳动维权接待、数据平台维护等服务，现拟向第三方采购渭南高新区零工市场（驿站）规范化运营管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采购包1（渭南高新区零工市场（驿站）规范化运营管理服务）：属于专门面向中小企业采购。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1、供应商基本情况：供应商须具备独立承担民事责任能力的法人或其他组织，并出具合法有效的营业执照（含2024年年度报告）</w:t>
      </w:r>
    </w:p>
    <w:p>
      <w:pPr>
        <w:pStyle w:val="null3"/>
      </w:pPr>
      <w:r>
        <w:rPr>
          <w:rFonts w:ascii="仿宋_GB2312" w:hAnsi="仿宋_GB2312" w:cs="仿宋_GB2312" w:eastAsia="仿宋_GB2312"/>
        </w:rPr>
        <w:t>2、法定代表人身份证明或法定代表人授权委托书：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或工资发放流水</w:t>
      </w:r>
    </w:p>
    <w:p>
      <w:pPr>
        <w:pStyle w:val="null3"/>
      </w:pPr>
      <w:r>
        <w:rPr>
          <w:rFonts w:ascii="仿宋_GB2312" w:hAnsi="仿宋_GB2312" w:cs="仿宋_GB2312" w:eastAsia="仿宋_GB2312"/>
        </w:rPr>
        <w:t>3、供应商资质：供应商须具备人力资源服务许可证</w:t>
      </w:r>
    </w:p>
    <w:p>
      <w:pPr>
        <w:pStyle w:val="null3"/>
      </w:pPr>
      <w:r>
        <w:rPr>
          <w:rFonts w:ascii="仿宋_GB2312" w:hAnsi="仿宋_GB2312" w:cs="仿宋_GB2312" w:eastAsia="仿宋_GB2312"/>
        </w:rPr>
        <w:t>4、项目负责人：项目负责人须具备人力资源管理师执业资格，并提供项目负责人在本单位近三个月社保缴纳证明或工资发放流水</w:t>
      </w:r>
    </w:p>
    <w:p>
      <w:pPr>
        <w:pStyle w:val="null3"/>
      </w:pPr>
      <w:r>
        <w:rPr>
          <w:rFonts w:ascii="仿宋_GB2312" w:hAnsi="仿宋_GB2312" w:cs="仿宋_GB2312" w:eastAsia="仿宋_GB2312"/>
        </w:rPr>
        <w:t>5、财务状况证明：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p>
      <w:pPr>
        <w:pStyle w:val="null3"/>
      </w:pPr>
      <w:r>
        <w:rPr>
          <w:rFonts w:ascii="仿宋_GB2312" w:hAnsi="仿宋_GB2312" w:cs="仿宋_GB2312" w:eastAsia="仿宋_GB2312"/>
        </w:rPr>
        <w:t>6、税收缴纳证明：2025年1月至今已缴纳的至少三个月纳税证明或完税证明。依法免税的单位应提供相关证明资料</w:t>
      </w:r>
    </w:p>
    <w:p>
      <w:pPr>
        <w:pStyle w:val="null3"/>
      </w:pPr>
      <w:r>
        <w:rPr>
          <w:rFonts w:ascii="仿宋_GB2312" w:hAnsi="仿宋_GB2312" w:cs="仿宋_GB2312" w:eastAsia="仿宋_GB2312"/>
        </w:rPr>
        <w:t>7、社会保障资金缴纳证明：2025年1月至今已缴纳的至少三个月的社会保障资金缴存单据或社保机构开具的社会保险参保缴费情况证明，单据或证明上应有社保机构或代收机构的公章。依法不需要缴纳社会保障资金的供应商应提供相关证明资料</w:t>
      </w:r>
    </w:p>
    <w:p>
      <w:pPr>
        <w:pStyle w:val="null3"/>
      </w:pPr>
      <w:r>
        <w:rPr>
          <w:rFonts w:ascii="仿宋_GB2312" w:hAnsi="仿宋_GB2312" w:cs="仿宋_GB2312" w:eastAsia="仿宋_GB2312"/>
        </w:rPr>
        <w:t>8、没有重大违法记录的书面声明：供应商应出具参加政府采购活动前3年内在经营活动中没有重大违法记录的书面声明</w:t>
      </w:r>
    </w:p>
    <w:p>
      <w:pPr>
        <w:pStyle w:val="null3"/>
      </w:pPr>
      <w:r>
        <w:rPr>
          <w:rFonts w:ascii="仿宋_GB2312" w:hAnsi="仿宋_GB2312" w:cs="仿宋_GB2312" w:eastAsia="仿宋_GB2312"/>
        </w:rPr>
        <w:t>9、合同履约能力：供应商具有履行合同所必需的设备和专业技术能力</w:t>
      </w:r>
    </w:p>
    <w:p>
      <w:pPr>
        <w:pStyle w:val="null3"/>
      </w:pPr>
      <w:r>
        <w:rPr>
          <w:rFonts w:ascii="仿宋_GB2312" w:hAnsi="仿宋_GB2312" w:cs="仿宋_GB2312" w:eastAsia="仿宋_GB2312"/>
        </w:rPr>
        <w:t>10、信用中国网、中国政府采购网查询情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11、供应商关系关联情况：单位负责人为同一人或者存在直接控股、管理关系的不同供应商，不得参加同一合同项下的政府采购活动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渭南高新区劳动就业服务中心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渭南高新区崇业路16号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芦丹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0913-2119911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正凯建设项目管理有限公司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渭南市朝阳大街2号恒生国际大厦A座505室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郭晓毅、张薇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0913-2021966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计价依据，由成交供应商在领取《成交通知书》时参照原“国家发展计划委员会2002-10-01文件“计价格〔2002〕1980号”关于印发《招标代理服务收费管理暂行办法》的通知收费标准，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渭南高新区劳动就业服务中心</w:t>
      </w:r>
      <w:r>
        <w:rPr>
          <w:rFonts w:ascii="仿宋_GB2312" w:hAnsi="仿宋_GB2312" w:cs="仿宋_GB2312" w:eastAsia="仿宋_GB2312"/>
        </w:rPr>
        <w:t>和</w:t>
      </w:r>
      <w:r>
        <w:rPr>
          <w:rFonts w:ascii="仿宋_GB2312" w:hAnsi="仿宋_GB2312" w:cs="仿宋_GB2312" w:eastAsia="仿宋_GB2312"/>
        </w:rPr>
        <w:t>正凯建设项目管理有限公司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渭南高新区劳动就业服务中心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正凯建设项目管理有限公司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渭南高新区劳动就业服务中心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正凯建设项目管理有限公司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《零工驿站就业服务规范》（DB2301/T 218-2024）</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正凯建设项目管理有限公司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联系人：郭晓毅、张薇</w:t>
      </w:r>
    </w:p>
    <w:p>
      <w:pPr>
        <w:pStyle w:val="null3"/>
      </w:pPr>
      <w:r>
        <w:rPr>
          <w:rFonts w:ascii="仿宋_GB2312" w:hAnsi="仿宋_GB2312" w:cs="仿宋_GB2312" w:eastAsia="仿宋_GB2312"/>
        </w:rPr>
        <w:t>联系电话：0913-2021966</w:t>
      </w:r>
    </w:p>
    <w:p>
      <w:pPr>
        <w:pStyle w:val="null3"/>
      </w:pPr>
      <w:r>
        <w:rPr>
          <w:rFonts w:ascii="仿宋_GB2312" w:hAnsi="仿宋_GB2312" w:cs="仿宋_GB2312" w:eastAsia="仿宋_GB2312"/>
        </w:rPr>
        <w:t>地址：渭南市朝阳大街2号恒生国际大厦A座505室内</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信息发布、就业登记、职业介绍、政策咨询、劳动维权保障服务，城镇新增登记等。需满足的要求:提高零工市场服务均等化和可及性，充分发挥灵活、快速服务优势、提供多样化服务。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渭南高新区零工市场（驿站）规范化运营管理服务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标的名称：渭南高新区零工市场（驿站）规范化运营管理服务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采购内容：信息发布、就业登记、职业介绍、政策咨询、劳动维权保障服务，城镇新增登记等。需满足的要求:提高零工市场服务均等化和可及性，充分发挥灵活、快速服务优势、提供多样化服务。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服务期限：</w:t>
            </w:r>
            <w:r>
              <w:rPr>
                <w:rFonts w:ascii="仿宋_GB2312" w:hAnsi="仿宋_GB2312" w:cs="仿宋_GB2312" w:eastAsia="仿宋_GB2312"/>
                <w:sz w:val="21"/>
              </w:rPr>
              <w:t>自合同签订后一年，本合同到期前一个月，甲乙双方对本合同继续履行无异议，双方续签一年合同，如有异议则提出书面说明。</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640"/>
              <w:jc w:val="both"/>
            </w:pPr>
            <w:r>
              <w:rPr>
                <w:rFonts w:ascii="仿宋_GB2312" w:hAnsi="仿宋_GB2312" w:cs="仿宋_GB2312" w:eastAsia="仿宋_GB2312"/>
                <w:sz w:val="21"/>
              </w:rPr>
              <w:t>服务地点：渭南高新区。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640"/>
              <w:jc w:val="both"/>
            </w:pPr>
            <w:r>
              <w:rPr>
                <w:rFonts w:ascii="仿宋_GB2312" w:hAnsi="仿宋_GB2312" w:cs="仿宋_GB2312" w:eastAsia="仿宋_GB2312"/>
                <w:sz w:val="21"/>
              </w:rPr>
              <w:t>综合管理：高新区零工市场及零工驿站运营管理服务常态化、标准化、规范化。</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640"/>
              <w:jc w:val="both"/>
            </w:pPr>
            <w:r>
              <w:rPr>
                <w:rFonts w:ascii="仿宋_GB2312" w:hAnsi="仿宋_GB2312" w:cs="仿宋_GB2312" w:eastAsia="仿宋_GB2312"/>
                <w:sz w:val="21"/>
              </w:rPr>
              <w:t>人员配置：组建专业运营团队，专职人员配置12名，明确岗位权责，保障服务效率。</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640"/>
              <w:jc w:val="both"/>
            </w:pPr>
            <w:r>
              <w:rPr>
                <w:rFonts w:ascii="仿宋_GB2312" w:hAnsi="仿宋_GB2312" w:cs="仿宋_GB2312" w:eastAsia="仿宋_GB2312"/>
                <w:sz w:val="21"/>
              </w:rPr>
              <w:t>零工候工服务：负责1个零工市场、2个零工驿站、1个零工服务点的场地运维、便民服务供给，打造“温馨、舒适、安全”的免费候工环境。</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就业登记服务：向登记求职的高校毕业生、零工人员、灵活就业人员、其他求职人员提供职业介绍服务，开展岗位推荐，实时跟踪服务，做好台账记录。向各类企业提供用工推荐服务，根据供需双方需求进行“人岗匹配”。</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640"/>
              <w:jc w:val="both"/>
            </w:pPr>
            <w:r>
              <w:rPr>
                <w:rFonts w:ascii="仿宋_GB2312" w:hAnsi="仿宋_GB2312" w:cs="仿宋_GB2312" w:eastAsia="仿宋_GB2312"/>
                <w:sz w:val="21"/>
              </w:rPr>
              <w:t>直播带岗：每周定期开展创业就业直播带岗活动。</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firstLine="640"/>
              <w:jc w:val="both"/>
            </w:pPr>
            <w:r>
              <w:rPr>
                <w:rFonts w:ascii="仿宋_GB2312" w:hAnsi="仿宋_GB2312" w:cs="仿宋_GB2312" w:eastAsia="仿宋_GB2312"/>
                <w:sz w:val="21"/>
              </w:rPr>
              <w:t>用工需求调查服务：对辖区内所有企业等各类市场主体开展用工需求调查，实时掌握用工需求情况。</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ind w:firstLine="640"/>
              <w:jc w:val="both"/>
            </w:pPr>
            <w:r>
              <w:rPr>
                <w:rFonts w:ascii="仿宋_GB2312" w:hAnsi="仿宋_GB2312" w:cs="仿宋_GB2312" w:eastAsia="仿宋_GB2312"/>
                <w:sz w:val="21"/>
              </w:rPr>
              <w:t>政策咨询服务：面向求职人员和用工企业开展就业创业政策宣传，协助开展就业政策宣传活动。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数据平台维护：维护零工市场、驿站线上数据平台（“秦云就业”APP等），实现信息互通、线上服务全覆盖。定期更新求职人员信息及用工岗位信息。</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ind w:firstLine="640"/>
              <w:jc w:val="both"/>
            </w:pPr>
            <w:r>
              <w:rPr>
                <w:rFonts w:ascii="仿宋_GB2312" w:hAnsi="仿宋_GB2312" w:cs="仿宋_GB2312" w:eastAsia="仿宋_GB2312"/>
                <w:sz w:val="21"/>
              </w:rPr>
              <w:t>劳动维权接待服务：协助开展维权指导和登记，引导前往相关部门处理，维护零工群体合法权益。</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ind w:firstLine="640"/>
              <w:jc w:val="both"/>
            </w:pPr>
            <w:r>
              <w:rPr>
                <w:rFonts w:ascii="仿宋_GB2312" w:hAnsi="仿宋_GB2312" w:cs="仿宋_GB2312" w:eastAsia="仿宋_GB2312"/>
                <w:sz w:val="21"/>
              </w:rPr>
              <w:t>劳务协作服务：协助区劳动就业服务中心开展劳务协作，拓宽用工信息传播渠道。</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ind w:firstLine="640"/>
              <w:jc w:val="both"/>
            </w:pPr>
            <w:r>
              <w:rPr>
                <w:rFonts w:ascii="仿宋_GB2312" w:hAnsi="仿宋_GB2312" w:cs="仿宋_GB2312" w:eastAsia="仿宋_GB2312"/>
                <w:sz w:val="21"/>
              </w:rPr>
              <w:t>安全生产责任：强化零工市场、驿站的日常安全管理，防范安全风险，保障服务对象与工作人员安全。</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ind w:firstLine="640"/>
              <w:jc w:val="both"/>
            </w:pPr>
            <w:r>
              <w:rPr>
                <w:rFonts w:ascii="仿宋_GB2312" w:hAnsi="仿宋_GB2312" w:cs="仿宋_GB2312" w:eastAsia="仿宋_GB2312"/>
                <w:sz w:val="21"/>
              </w:rPr>
              <w:t>其他就业服务工作：配合区劳动就业服务中心完成其他临时性相关工作。</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ind w:firstLine="640"/>
              <w:jc w:val="both"/>
            </w:pPr>
            <w:r>
              <w:rPr>
                <w:rFonts w:ascii="仿宋_GB2312" w:hAnsi="仿宋_GB2312" w:cs="仿宋_GB2312" w:eastAsia="仿宋_GB2312"/>
                <w:sz w:val="21"/>
              </w:rPr>
              <w:t>服务质量：合格。</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ind w:firstLine="640"/>
              <w:jc w:val="both"/>
            </w:pPr>
            <w:r>
              <w:rPr>
                <w:rFonts w:ascii="仿宋_GB2312" w:hAnsi="仿宋_GB2312" w:cs="仿宋_GB2312" w:eastAsia="仿宋_GB2312"/>
                <w:sz w:val="21"/>
              </w:rPr>
              <w:t>现场设备：应配备休息座椅、饮水机、急救药箱、充电设备、取暖器、信息发布屏、无线网络、阅览角等基本便民设施。</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ind w:firstLine="640"/>
              <w:jc w:val="both"/>
            </w:pPr>
            <w:r>
              <w:rPr>
                <w:rFonts w:ascii="仿宋_GB2312" w:hAnsi="仿宋_GB2312" w:cs="仿宋_GB2312" w:eastAsia="仿宋_GB2312"/>
                <w:sz w:val="21"/>
              </w:rPr>
              <w:t>人员配置：配置12名专职工作人员。工作人员需定期进行业务培训，规范服务用语和行为。</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ind w:firstLine="640"/>
              <w:jc w:val="both"/>
            </w:pPr>
            <w:r>
              <w:rPr>
                <w:rFonts w:ascii="仿宋_GB2312" w:hAnsi="仿宋_GB2312" w:cs="仿宋_GB2312" w:eastAsia="仿宋_GB2312"/>
                <w:sz w:val="21"/>
              </w:rPr>
              <w:t>核心服务功能：提供求职登记、岗位信息发布、职业指导、政策咨询等基本服务。建立“即时快招”服务机制，促进人岗精准匹配。为供求双方提供洽谈、签约、纠纷登记等权益维护服务。引导零工人员和用工主体参加社会保险等。</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ind w:firstLine="640"/>
              <w:jc w:val="both"/>
            </w:pPr>
            <w:r>
              <w:rPr>
                <w:rFonts w:ascii="仿宋_GB2312" w:hAnsi="仿宋_GB2312" w:cs="仿宋_GB2312" w:eastAsia="仿宋_GB2312"/>
                <w:sz w:val="21"/>
              </w:rPr>
              <w:t>信息与安全管理：严格审核用工信息的真实性。不得公开发布、泄露涉及单位和个人隐私的信息。运营机构负责人为安全第一责任人，需定期组织安全检查，消除隐患。</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ind w:firstLine="640"/>
              <w:jc w:val="both"/>
            </w:pPr>
            <w:r>
              <w:rPr>
                <w:rFonts w:ascii="仿宋_GB2312" w:hAnsi="仿宋_GB2312" w:cs="仿宋_GB2312" w:eastAsia="仿宋_GB2312"/>
                <w:sz w:val="21"/>
              </w:rPr>
              <w:t>监督与评价：建立年度绩效评价制度。评价内容包括驿站管理、业务水平、运行成效等。评价结果与运营补助挂钩。对问题突出的驿站实行限期整改机制。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详见磋商文件3.2.2服务要求、磋商文件6.4.2评分标准。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自合同签订后一年，本合同到期前一个月，甲乙双方对本合同继续履行无异议，双方续签一年合同，如有异议则提出书面说明</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《零工驿站就业服务规范》（DB2301/T 218-2024）</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经甲方评估后，采取分四期按季度支付的方式执行。每季度支付项目总资金的25%，于第四季度末完成全部资金的支付。第一季度支付总资金的25%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经甲方评估后，采取分四期按季度支付的方式执行。每季度支付项目总资金的25%，于第四季度末完成全部资金的支付。第二季度支付总资金的25%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经甲方评估后，采取分四期按季度支付的方式执行。每季度支付项目总资金的25%，于第四季度末完成全部资金的支付。第三季度支付总资金的25%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经甲方评估后，采取分四期按季度支付的方式执行。每季度支付项目总资金的25%，于第四季度末完成全部资金的支付。第四季度支付总资金的25%</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合同履约能力.docx 税收缴纳证明.docx 财务状况证明.docx 供应商基本情况.docx 供应商应提交的相关资格证明材料 没有重大违法记录的书面声明.docx 响应函 社会保障资金缴纳证明.docx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财务状况证明.docx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供应商须具备独立承担民事责任能力的法人或其他组织，并出具合法有效的营业执照（含2024年年度报告）</w:t>
            </w:r>
          </w:p>
        </w:tc>
        <w:tc>
          <w:tcPr>
            <w:tcW w:type="dxa" w:w="1661"/>
          </w:tcPr>
          <w:p>
            <w:pPr>
              <w:pStyle w:val="null3"/>
            </w:pPr>
            <w:r>
              <w:rPr>
                <w:rFonts w:ascii="仿宋_GB2312" w:hAnsi="仿宋_GB2312" w:cs="仿宋_GB2312" w:eastAsia="仿宋_GB2312"/>
              </w:rPr>
              <w:t>供应商基本情况.docx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的，须提供本人身份证复印件加盖公章并出示身份证原件；法定代表人授权他人参加的，须提供法定代表人委托授权书原件加盖公章，并出示被授权代表身份证原件及复印件加盖公章和近三个月的社保缴纳证明或工资发放流水</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供应商须具备人力资源服务许可证</w:t>
            </w:r>
          </w:p>
        </w:tc>
        <w:tc>
          <w:tcPr>
            <w:tcW w:type="dxa" w:w="1661"/>
          </w:tcPr>
          <w:p>
            <w:pPr>
              <w:pStyle w:val="null3"/>
            </w:pPr>
            <w:r>
              <w:rPr>
                <w:rFonts w:ascii="仿宋_GB2312" w:hAnsi="仿宋_GB2312" w:cs="仿宋_GB2312" w:eastAsia="仿宋_GB2312"/>
              </w:rPr>
              <w:t>供应商特定资格应提交的相关资格证明材料.docx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项目负责人须具备人力资源管理师执业资格，并提供项目负责人在本单位近三个月社保缴纳证明或工资发放流水</w:t>
            </w:r>
          </w:p>
        </w:tc>
        <w:tc>
          <w:tcPr>
            <w:tcW w:type="dxa" w:w="1661"/>
          </w:tcPr>
          <w:p>
            <w:pPr>
              <w:pStyle w:val="null3"/>
            </w:pPr>
            <w:r>
              <w:rPr>
                <w:rFonts w:ascii="仿宋_GB2312" w:hAnsi="仿宋_GB2312" w:cs="仿宋_GB2312" w:eastAsia="仿宋_GB2312"/>
              </w:rPr>
              <w:t>项目负责人资格证明.docx 供应商特定资格应提交的相关资格证明材料.docx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会计师事务所或审计机构审计的财务会计报告，包括财务审计报告、资产负债表、现金流量表、利润表、所有者权益表和财务情况说明书或供应商基本存款账户开户银行出具开标日期前六个月内资信证明及基本存款账户开户许可证（基本账户信息表）。（若成立时间至提交响应文件截止时间不足一年的可提供成立后财务报表，包含资产负债表、现金流量表、利润表、所有者权益表）</w:t>
            </w:r>
          </w:p>
        </w:tc>
        <w:tc>
          <w:tcPr>
            <w:tcW w:type="dxa" w:w="1661"/>
          </w:tcPr>
          <w:p>
            <w:pPr>
              <w:pStyle w:val="null3"/>
            </w:pPr>
            <w:r>
              <w:rPr>
                <w:rFonts w:ascii="仿宋_GB2312" w:hAnsi="仿宋_GB2312" w:cs="仿宋_GB2312" w:eastAsia="仿宋_GB2312"/>
              </w:rPr>
              <w:t>财务状况证明.docx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2025年1月至今已缴纳的至少三个月纳税证明或完税证明。依法免税的单位应提供相关证明资料</w:t>
            </w:r>
          </w:p>
        </w:tc>
        <w:tc>
          <w:tcPr>
            <w:tcW w:type="dxa" w:w="1661"/>
          </w:tcPr>
          <w:p>
            <w:pPr>
              <w:pStyle w:val="null3"/>
            </w:pPr>
            <w:r>
              <w:rPr>
                <w:rFonts w:ascii="仿宋_GB2312" w:hAnsi="仿宋_GB2312" w:cs="仿宋_GB2312" w:eastAsia="仿宋_GB2312"/>
              </w:rPr>
              <w:t>税收缴纳证明.docx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2025年1月至今已缴纳的至少三个月的社会保障资金缴存单据或社保机构开具的社会保险参保缴费情况证明，单据或证明上应有社保机构或代收机构的公章。依法不需要缴纳社会保障资金的供应商应提供相关证明资料</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没有重大违法记录的书面声明.docx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供应商具有履行合同所必需的设备和专业技术能力</w:t>
            </w:r>
          </w:p>
        </w:tc>
        <w:tc>
          <w:tcPr>
            <w:tcW w:type="dxa" w:w="1661"/>
          </w:tcPr>
          <w:p>
            <w:pPr>
              <w:pStyle w:val="null3"/>
            </w:pPr>
            <w:r>
              <w:rPr>
                <w:rFonts w:ascii="仿宋_GB2312" w:hAnsi="仿宋_GB2312" w:cs="仿宋_GB2312" w:eastAsia="仿宋_GB2312"/>
              </w:rPr>
              <w:t>合同履约能力.docx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信用中国网、中国政府采购网查询情况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信用中国网、中国政府采购网查询情况.docx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供应商关系关联情况</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供应商基本情况.docx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税收缴纳证明.docx 信用中国网、中国政府采购网查询情况.docx 服务内容及服务邀请应答表 财务状况证明.docx 中小企业声明函 供应商特定资格应提交的相关资格证明材料.docx 商务应答表 供应商应提交的相关资格证明材料 报价表 响应文件封面 合同履约能力.docx 项目负责人资格证明.docx 企业综合实力.docx 供应商企业关系关联承诺书.docx 残疾人福利性单位声明函 服务方案 供应商基本情况.docx 标的清单 没有重大违法记录的书面声明.docx 响应函 法定代表人身份证明或法定代表人授权委托书.docx 监狱企业的证明文件 社会保障资金缴纳证明.docx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 法定代表人身份证明或法定代表人授权委托书.docx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自合同签订后一年，本合同到期前一个月，甲乙双方对本合同继续履约无异议，双方续签一年合同，如有异议则提出书面说明</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渭南高新区</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提供近三年（2022年12月至今）承担过类似项目业绩，有一项有效业绩得基本分3分；每增加一项有效业绩加1.5分，最高加3分（以合同为准，时间以合同签订时间为准）。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提供近三年（2022年12月至今）担任过类似项目业绩，有一项有效业绩得2.5分，最高得5分。 评审依据：根据供应商提供相关证明资料为准。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服务团队成员</w:t>
            </w:r>
          </w:p>
        </w:tc>
        <w:tc>
          <w:tcPr>
            <w:tcW w:type="dxa" w:w="2492"/>
          </w:tcPr>
          <w:p>
            <w:pPr>
              <w:pStyle w:val="null3"/>
            </w:pPr>
            <w:r>
              <w:rPr>
                <w:rFonts w:ascii="仿宋_GB2312" w:hAnsi="仿宋_GB2312" w:cs="仿宋_GB2312" w:eastAsia="仿宋_GB2312"/>
              </w:rPr>
              <w:t>（1）服务团队配置人员数量不少于6人的，基本得分3分；每增加1人加0.5分，最高增加3分。配置人员数量少于6人的，不得分。 （2）团队成员中（除项目负责人外），持有人力资源管理师执业资格，有1人得1分，最高得3分。 评审依据：提供服务团队成员有效执业证书、社保缴纳证明或近六个月工资发放银行流水证明。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对本项目的需求以及国家就业创业政策的理解</w:t>
            </w:r>
          </w:p>
        </w:tc>
        <w:tc>
          <w:tcPr>
            <w:tcW w:type="dxa" w:w="2492"/>
          </w:tcPr>
          <w:p>
            <w:pPr>
              <w:pStyle w:val="null3"/>
            </w:pPr>
            <w:r>
              <w:rPr>
                <w:rFonts w:ascii="仿宋_GB2312" w:hAnsi="仿宋_GB2312" w:cs="仿宋_GB2312" w:eastAsia="仿宋_GB2312"/>
              </w:rPr>
              <w:t>对项目背景、需求、政策要求理解深刻、准确；完全符合国家及地方最新规程和要求得9.1-15分；对项目理解较为准确，工作思路清晰，符合相关规程要求得3.1-9分；对项目理解一般，存在偏差，工作思路混乱，得1-3分；未响应，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运营管理制度</w:t>
            </w:r>
          </w:p>
        </w:tc>
        <w:tc>
          <w:tcPr>
            <w:tcW w:type="dxa" w:w="2492"/>
          </w:tcPr>
          <w:p>
            <w:pPr>
              <w:pStyle w:val="null3"/>
            </w:pPr>
            <w:r>
              <w:rPr>
                <w:rFonts w:ascii="仿宋_GB2312" w:hAnsi="仿宋_GB2312" w:cs="仿宋_GB2312" w:eastAsia="仿宋_GB2312"/>
              </w:rPr>
              <w:t>有清晰可行的服务流程、台账管理、月度、季度报告等管理机制完善得5.1-10分；服务流程较清晰、较可行、台账管理、月度、季度报告等管理机制较完善得2.1-5；服务流程混乱，不具有可行性、台账管理、月度、季度报告等管理机制不完善得1-2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在满足本项目采购需求条件下，内容详细全面，可操作性强得5.1-10分；内容较详细全面，可操作性较弱得2.1-5分；内容简易，可操作性弱得1-2分；未响应，不得分。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进度保障制度及措施</w:t>
            </w:r>
          </w:p>
        </w:tc>
        <w:tc>
          <w:tcPr>
            <w:tcW w:type="dxa" w:w="2492"/>
          </w:tcPr>
          <w:p>
            <w:pPr>
              <w:pStyle w:val="null3"/>
            </w:pPr>
            <w:r>
              <w:rPr>
                <w:rFonts w:ascii="仿宋_GB2312" w:hAnsi="仿宋_GB2312" w:cs="仿宋_GB2312" w:eastAsia="仿宋_GB2312"/>
              </w:rPr>
              <w:t>进度保障制度及措施内容详细全面、可操作性强得5.1-10分；内容较详细全面，可操作性一般得2.1-5分；内容简易、可操作性差得1-2分；未响应，不得分。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需对突发事件做出应急方案，应急方案全面详尽，对各种突发情况有较强应对措施，措施可行性强得5.1-10分；应急方案一般，对常见突发情况有应对措施、可行性一般得2.1-5分；应急方案差，可行性差，得1-2分；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可持续性和创新性方案</w:t>
            </w:r>
          </w:p>
        </w:tc>
        <w:tc>
          <w:tcPr>
            <w:tcW w:type="dxa" w:w="2492"/>
          </w:tcPr>
          <w:p>
            <w:pPr>
              <w:pStyle w:val="null3"/>
            </w:pPr>
            <w:r>
              <w:rPr>
                <w:rFonts w:ascii="仿宋_GB2312" w:hAnsi="仿宋_GB2312" w:cs="仿宋_GB2312" w:eastAsia="仿宋_GB2312"/>
              </w:rPr>
              <w:t>可持续性和创新性方案结合实际，采用新技术、新工艺、节能环保等方案全面、完整、可操作性强得2.1-5分；可持续性和创新性方案结合实际，采用新技术、新工艺、节能环保等方案较全面，较完整、可操作性一般得1-2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基于对本项目需求的理解，结合实际情况能够提出有助于项目实施的合理化建议。其内容详尽合理、可行性强得2.1-5分；其内容较详尽、较合理、可行性一般，得1-2分；未响应，不得分。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2.满足磋商文件实质性要求且最终报价最低的供应商的报价为磋商基准价，其价格分为满分15分。 3.磋商报价得分=（磋商基准价/最终磋商报价）×15%×100的公式计算得分。 4.磋商报价不完整的，不进入评标标准价的计算，本项得0分 5.经磋商小组一致认定，供应商的最终磋商报价低于公认市场成本，或超过最高限价,其响应将被拒绝。</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详见附件：供应商基本情况.docx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详见附件：供应商特定资格应提交的相关资格证明材料.docx</w:t>
      </w:r>
    </w:p>
    <w:p>
      <w:pPr>
        <w:pStyle w:val="null3"/>
        <w:ind w:firstLine="960"/>
      </w:pPr>
      <w:r>
        <w:rPr>
          <w:rFonts w:ascii="仿宋_GB2312" w:hAnsi="仿宋_GB2312" w:cs="仿宋_GB2312" w:eastAsia="仿宋_GB2312"/>
        </w:rPr>
        <w:t>详见附件：合同履约能力.docx</w:t>
      </w:r>
    </w:p>
    <w:p>
      <w:pPr>
        <w:pStyle w:val="null3"/>
        <w:ind w:firstLine="960"/>
      </w:pPr>
      <w:r>
        <w:rPr>
          <w:rFonts w:ascii="仿宋_GB2312" w:hAnsi="仿宋_GB2312" w:cs="仿宋_GB2312" w:eastAsia="仿宋_GB2312"/>
        </w:rPr>
        <w:t>详见附件：没有重大违法记录的书面声明.docx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详见附件：项目负责人资格证明.docx</w:t>
      </w:r>
    </w:p>
    <w:p>
      <w:pPr>
        <w:pStyle w:val="null3"/>
        <w:ind w:firstLine="960"/>
      </w:pPr>
      <w:r>
        <w:rPr>
          <w:rFonts w:ascii="仿宋_GB2312" w:hAnsi="仿宋_GB2312" w:cs="仿宋_GB2312" w:eastAsia="仿宋_GB2312"/>
        </w:rPr>
        <w:t>详见附件：信用中国网、中国政府采购网查询情况.docx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