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版本号：ZCSP-渭南高新区-2025-00036、XHLJZC-WN2025-07720250721002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2025年渭南高新区崇业路街道麻李村道路硬化项目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ZCSP-渭南高新区-2025-00036、XHLJZC-WN2025-077</w:t>
      </w:r>
      <w:r>
        <w:br/>
      </w:r>
      <w:r>
        <w:br/>
      </w:r>
      <w:r>
        <w:br/>
      </w:r>
    </w:p>
    <w:p>
      <w:pPr>
        <w:pStyle w:val="null3"/>
        <w:jc w:val="center"/>
        <w:outlineLvl w:val="2"/>
      </w:pPr>
      <w:r>
        <w:rPr>
          <w:rFonts w:ascii="仿宋_GB2312" w:hAnsi="仿宋_GB2312" w:cs="仿宋_GB2312" w:eastAsia="仿宋_GB2312"/>
          <w:sz w:val="28"/>
          <w:b/>
        </w:rPr>
        <w:t>渭南高新区崇业路街道办事处</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渭南高新区崇业路街道办事处</w:t>
      </w:r>
      <w:r>
        <w:rPr>
          <w:rFonts w:ascii="仿宋_GB2312" w:hAnsi="仿宋_GB2312" w:cs="仿宋_GB2312" w:eastAsia="仿宋_GB2312"/>
        </w:rPr>
        <w:t>委托，拟对</w:t>
      </w:r>
      <w:r>
        <w:rPr>
          <w:rFonts w:ascii="仿宋_GB2312" w:hAnsi="仿宋_GB2312" w:cs="仿宋_GB2312" w:eastAsia="仿宋_GB2312"/>
        </w:rPr>
        <w:t>2025年渭南高新区崇业路街道麻李村道路硬化项目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ZCSP-渭南高新区-2025-00036、XHLJZC-WN2025-077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2025年渭南高新区崇业路街道麻李村道路硬化项目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2025年渭南高新区崇业路街道麻李村道路硬化，详见工程量清单。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采购包1（渭南高新区崇业路街道办事处2025年渭南高新区崇业路街道麻李村道路硬化项目）：属于专门面向中小企业采购。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1、具有独立承担民事责任的能力：供应商应具有独立承担民事责任的能力且具备向采购人提供相关工程的企业法人、其他组织，企业法人应提供统一社会信用代码的营业执照；其他组织应提供合法证明文件；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9、资质条件：（9.1）提供建筑工程施工总承包三级及以上资质； （9.2）提供有效的安全生产许可证； （9.3）项目经理须具备建筑工程专业二级及以上注册建造师证书，有效的安全生产考核合格证书（建安B证），提供无在建项目承诺。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渭南高新区崇业路街道办事处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渭南高新区育红路13号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704026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0913-2120087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15691397777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 招标代理服务收费管理暂行办法&gt;的通知》（计价格〔2002〕1980号）、《国家发展和改革委 员会办公厅关于招标代理服务收费有关问题的通知》（发改办价格〔2003〕857号）的规定标 准执行，按差额定率累进法收取费用，100万以下按1.0%收取。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渭南高新区崇业路街道办事处</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渭南高新区崇业路街道办事处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渭南高新区崇业路街道办事处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具备隐蔽条件，乙方先进行自检，并在隐蔽验收前48小时以书面形式通知甲方验收。验收合格，甲方现场代表在验收记录上签字后，乙方可进行隐蔽和继续施工。验收不合格，乙方予以整改后再交由甲方重新验收。 二、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 三、工程质量应符合国家及行业规定的建筑工程质量检验评定的“合格”标准。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781,088.16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1.工期：合同签订后30日历天。 2.付款方式：合同签订后，达到付款条件30日内，支付合同总金额的30%；整个项目竣工验收合格后，达到付款条件30日内，支付合同总金额的67%；质保期满后，达到付款条件30日内，支付合同总金额的3%。 3.质保期：工程竣工验收合格之日起1年。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（9.1）提供建筑工程施工总承包三级及以上资质； （9.2）提供有效的安全生产许可证； （9.3）项目经理须具备建筑工程专业二级及以上注册建造师证书，有效的安全生产考核合格证书（建安B证），提供无在建项目承诺。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技术响应 中小企业声明函 磋商保证金缴纳凭证及退还申请表 商务要求响应表 响应文件封面 政府采购供应商拒绝政府采购领域商业贿赂承诺书 残疾人福利性单位声明函 报价函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（1）报价未超过本项目最高限价 （2）未出现选择性报价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商务要求响应表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①质量目标管理体系:每完全满足一个评审标准得1分，满分3分; ②施工质量的检验制度:每完全满足一个评审标准得0.5分，满分1.5分; ③确保质量的技术组织措施:每完全满足一个评审标准得0.5分，满分1.5分; ④施工质量控制措施:每完全满足一个评审标准得1分，满分3分。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①安全生产管理制度:每完全满足一个评审标准得1分，满分3分; ②安全施工措施:每完全满足一个评审标准得1分，满分3分;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详见附件：技术响应</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