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版本号：ZCSP-渭南高新区-2025-00033-ZK25（CG）0101020250725001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渭南高新区2025年规划区外林带管护项目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ZCSP-渭南高新区-2025-00033-ZK25（CG）01010</w:t>
      </w:r>
      <w:r>
        <w:br/>
      </w:r>
      <w:r>
        <w:br/>
      </w:r>
      <w:r>
        <w:br/>
      </w:r>
    </w:p>
    <w:p>
      <w:pPr>
        <w:pStyle w:val="null3"/>
        <w:jc w:val="center"/>
        <w:outlineLvl w:val="2"/>
      </w:pPr>
      <w:r>
        <w:rPr>
          <w:rFonts w:ascii="仿宋_GB2312" w:hAnsi="仿宋_GB2312" w:cs="仿宋_GB2312" w:eastAsia="仿宋_GB2312"/>
          <w:sz w:val="28"/>
          <w:b/>
        </w:rPr>
        <w:t>渭南高新区北区管理办公室</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渭南高新区北区管理办公室</w:t>
      </w:r>
      <w:r>
        <w:rPr>
          <w:rFonts w:ascii="仿宋_GB2312" w:hAnsi="仿宋_GB2312" w:cs="仿宋_GB2312" w:eastAsia="仿宋_GB2312"/>
        </w:rPr>
        <w:t>委托，拟对</w:t>
      </w:r>
      <w:r>
        <w:rPr>
          <w:rFonts w:ascii="仿宋_GB2312" w:hAnsi="仿宋_GB2312" w:cs="仿宋_GB2312" w:eastAsia="仿宋_GB2312"/>
        </w:rPr>
        <w:t>渭南高新区2025年规划区外林带管护项目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ZCSP-渭南高新区-2025-00033-ZK25（CG）01010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渭南高新区2025年规划区外林带管护项目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自2008年实施南塬绿化工程以来，北区办(原高新区农林中心和原经开区农综局)在规划区外先后组织实施了西潼高速防护林带建设项目、南塬经济林建设项目、铁路沿线绿化项目、南塬难利用地生态恢复项目等多项重大绿化工程，市林业局组织实施了中心城市生态绿廊建设项目，大幅度增加了绿地面积，有效改善了生态环境，提升了城市品位，生态效益、社会效益提升明显。但同时林木防火、病虫害监测防治等管护压力逐年增加。按照中省市各级防火工作要求，为切实做好规划区外林木管护和安全工作。因此，需选取一家有信誉、有实力、有技术的企业提供林带管护服务，在重点区域林带内每年分别在8月、10月和12月开展三次管护，前两次进行杂草清理、死树清理和缠绕物清理工作第三次进行落叶清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采购包1（渭南高新区2025年规划区外林带管护项目）：属于专门面向中小企业采购。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1、供应商基本情况：供应商须具备独立承担民事责任能力的法人或其他组织，并出具合法有效的营业执照（含2024年年度报告，经营范围含林带管护或绿化养护或园林绿化）</w:t>
      </w:r>
    </w:p>
    <w:p>
      <w:pPr>
        <w:pStyle w:val="null3"/>
      </w:pPr>
      <w:r>
        <w:rPr>
          <w:rFonts w:ascii="仿宋_GB2312" w:hAnsi="仿宋_GB2312" w:cs="仿宋_GB2312" w:eastAsia="仿宋_GB2312"/>
        </w:rPr>
        <w:t>2、法定代表人身份证明或法定代表人授权委托书：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加盖公章</w:t>
      </w:r>
    </w:p>
    <w:p>
      <w:pPr>
        <w:pStyle w:val="null3"/>
      </w:pPr>
      <w:r>
        <w:rPr>
          <w:rFonts w:ascii="仿宋_GB2312" w:hAnsi="仿宋_GB2312" w:cs="仿宋_GB2312" w:eastAsia="仿宋_GB2312"/>
        </w:rPr>
        <w:t>3、项目负责人：具有园林绿化相关专业中级及以上职称</w:t>
      </w:r>
    </w:p>
    <w:p>
      <w:pPr>
        <w:pStyle w:val="null3"/>
      </w:pPr>
      <w:r>
        <w:rPr>
          <w:rFonts w:ascii="仿宋_GB2312" w:hAnsi="仿宋_GB2312" w:cs="仿宋_GB2312" w:eastAsia="仿宋_GB2312"/>
        </w:rPr>
        <w:t>4、财务状况证明：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p>
      <w:pPr>
        <w:pStyle w:val="null3"/>
      </w:pPr>
      <w:r>
        <w:rPr>
          <w:rFonts w:ascii="仿宋_GB2312" w:hAnsi="仿宋_GB2312" w:cs="仿宋_GB2312" w:eastAsia="仿宋_GB2312"/>
        </w:rPr>
        <w:t>5、税收缴纳证明：2024年1月至今已缴纳的至少三个月纳税证明或完税证明。依法免税的单位应提供相关证明材料</w:t>
      </w:r>
    </w:p>
    <w:p>
      <w:pPr>
        <w:pStyle w:val="null3"/>
      </w:pPr>
      <w:r>
        <w:rPr>
          <w:rFonts w:ascii="仿宋_GB2312" w:hAnsi="仿宋_GB2312" w:cs="仿宋_GB2312" w:eastAsia="仿宋_GB2312"/>
        </w:rPr>
        <w:t>6、社会保障资金缴纳证明：2024年1月至今已缴纳的至少三个月的社会保障资金缴存单据或社保机构开具的社会保险参保缴费情况证明、单据或证明上应有社保机构或代收机构的公章。依法不需要缴纳社会保障资金的供应商应提供相关文件证明资料</w:t>
      </w:r>
    </w:p>
    <w:p>
      <w:pPr>
        <w:pStyle w:val="null3"/>
      </w:pPr>
      <w:r>
        <w:rPr>
          <w:rFonts w:ascii="仿宋_GB2312" w:hAnsi="仿宋_GB2312" w:cs="仿宋_GB2312" w:eastAsia="仿宋_GB2312"/>
        </w:rPr>
        <w:t>7、没有重大违法记录的书面声明：供应商应出具参加政府采购活动前3年内在经营活动中没有重大违法记录的书面声明</w:t>
      </w:r>
    </w:p>
    <w:p>
      <w:pPr>
        <w:pStyle w:val="null3"/>
      </w:pPr>
      <w:r>
        <w:rPr>
          <w:rFonts w:ascii="仿宋_GB2312" w:hAnsi="仿宋_GB2312" w:cs="仿宋_GB2312" w:eastAsia="仿宋_GB2312"/>
        </w:rPr>
        <w:t>8、合同履约能力：供应商具有履行合同所必需的设备和专业技术能力</w:t>
      </w:r>
    </w:p>
    <w:p>
      <w:pPr>
        <w:pStyle w:val="null3"/>
      </w:pPr>
      <w:r>
        <w:rPr>
          <w:rFonts w:ascii="仿宋_GB2312" w:hAnsi="仿宋_GB2312" w:cs="仿宋_GB2312" w:eastAsia="仿宋_GB2312"/>
        </w:rPr>
        <w:t>9、信用中国网、中国政府采购网查询情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10、供应商关系关联情况：单位负责人为同一人或者存在直接控股、管理关系的不同供应商，不得参加同一合同项下的政府采购活动</w:t>
      </w:r>
    </w:p>
    <w:p>
      <w:pPr>
        <w:pStyle w:val="null3"/>
      </w:pPr>
      <w:r>
        <w:rPr>
          <w:rFonts w:ascii="仿宋_GB2312" w:hAnsi="仿宋_GB2312" w:cs="仿宋_GB2312" w:eastAsia="仿宋_GB2312"/>
        </w:rPr>
        <w:t>11、保证金缴存情况：按照磋商文件规定的缴（交）存方式及金额等要求，提供保证金缴存情况证明资料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渭南高新区北区管理办公室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渭南高新区香山大街3号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张渭阳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0913-2656336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渭南市朝阳大街2号恒生国际大厦A座505室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郭晓毅、张薇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0913-2021966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渭南高新技术产业开发区财政局采购管理科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开户名称：正凯建设项目管理有限公司</w:t>
            </w:r>
          </w:p>
          <w:p>
            <w:pPr>
              <w:pStyle w:val="null3"/>
            </w:pPr>
            <w:r>
              <w:rPr>
                <w:rFonts w:ascii="仿宋_GB2312" w:hAnsi="仿宋_GB2312" w:cs="仿宋_GB2312" w:eastAsia="仿宋_GB2312"/>
              </w:rPr>
              <w:t>开户银行：中国建设银行西安经济技术开发区支行</w:t>
            </w:r>
          </w:p>
          <w:p>
            <w:pPr>
              <w:pStyle w:val="null3"/>
            </w:pPr>
            <w:r>
              <w:rPr>
                <w:rFonts w:ascii="仿宋_GB2312" w:hAnsi="仿宋_GB2312" w:cs="仿宋_GB2312" w:eastAsia="仿宋_GB2312"/>
              </w:rPr>
              <w:t>银行账号：6105 0193 0041 0000 0678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计价依据，由成交供应商在领取《成交通知书》时参照原“国家发展计划委员会2002-10-01文件“计价格〔2002〕1980号”关于印发《招标代理服务收费管理暂行办法》的通知收费标准，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渭南高新区北区管理办公室</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渭南高新区北区管理办公室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渭南高新区北区管理办公室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按照合同约定、国家标准或行业标准或地方标准，组成验收组进行验收。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联系人：张薇、郭晓毅</w:t>
      </w:r>
    </w:p>
    <w:p>
      <w:pPr>
        <w:pStyle w:val="null3"/>
      </w:pPr>
      <w:r>
        <w:rPr>
          <w:rFonts w:ascii="仿宋_GB2312" w:hAnsi="仿宋_GB2312" w:cs="仿宋_GB2312" w:eastAsia="仿宋_GB2312"/>
        </w:rPr>
        <w:t>联系电话：0913-2021966</w:t>
      </w:r>
    </w:p>
    <w:p>
      <w:pPr>
        <w:pStyle w:val="null3"/>
      </w:pPr>
      <w:r>
        <w:rPr>
          <w:rFonts w:ascii="仿宋_GB2312" w:hAnsi="仿宋_GB2312" w:cs="仿宋_GB2312" w:eastAsia="仿宋_GB2312"/>
        </w:rPr>
        <w:t>地址：渭南市朝阳大街2号恒生国际大厦A座505室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采购一家专业绿化管理公司对高新区规划区外重点林带开展基础管护。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渭南高新区2025年规划区外林带管护项目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标的名称：渭南高新区2025年规划区外林带管护项目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w:t>
            </w:r>
            <w:r>
              <w:rPr>
                <w:rFonts w:ascii="仿宋_GB2312" w:hAnsi="仿宋_GB2312" w:cs="仿宋_GB2312" w:eastAsia="仿宋_GB2312"/>
                <w:sz w:val="21"/>
                <w:color w:val="000000"/>
              </w:rPr>
              <w:t>采购一家专业绿化管理公司对高新区规划区外重点林带开展基础管护。</w:t>
            </w:r>
          </w:p>
          <w:p>
            <w:pPr>
              <w:pStyle w:val="null3"/>
            </w:pPr>
            <w:r>
              <w:rPr>
                <w:rFonts w:ascii="仿宋_GB2312" w:hAnsi="仿宋_GB2312" w:cs="仿宋_GB2312" w:eastAsia="仿宋_GB2312"/>
              </w:rPr>
              <w:t xml:space="preserve"> </w:t>
            </w:r>
          </w:p>
          <w:p>
            <w:pPr>
              <w:pStyle w:val="null3"/>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color w:val="000000"/>
              </w:rPr>
              <w:t>功能要求：在重点区域林带内每年分别在</w:t>
            </w:r>
            <w:r>
              <w:rPr>
                <w:rFonts w:ascii="仿宋_GB2312" w:hAnsi="仿宋_GB2312" w:cs="仿宋_GB2312" w:eastAsia="仿宋_GB2312"/>
                <w:sz w:val="21"/>
                <w:color w:val="000000"/>
              </w:rPr>
              <w:t>8月、10月和12月开展三次管护，前两次进行杂草清理、死树清理和缠绕物清理工作，第三次进行落叶清理。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color w:val="000000"/>
              </w:rPr>
              <w:t>服务期限：自合同签订后至</w:t>
            </w:r>
            <w:r>
              <w:rPr>
                <w:rFonts w:ascii="仿宋_GB2312" w:hAnsi="仿宋_GB2312" w:cs="仿宋_GB2312" w:eastAsia="仿宋_GB2312"/>
                <w:sz w:val="21"/>
                <w:color w:val="000000"/>
              </w:rPr>
              <w:t>2025年12月31日完成。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color w:val="000000"/>
              </w:rPr>
              <w:t>服务地点：渭南高新区规划区外重点林带。</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60"/>
              <w:ind w:left="120"/>
              <w:jc w:val="left"/>
            </w:pPr>
            <w:r>
              <w:rPr>
                <w:rFonts w:ascii="仿宋_GB2312" w:hAnsi="仿宋_GB2312" w:cs="仿宋_GB2312" w:eastAsia="仿宋_GB2312"/>
                <w:sz w:val="21"/>
                <w:color w:val="000000"/>
              </w:rPr>
              <w:t>需执行的国家相关标准、行业标准、地方标准或者其他标准、规范：</w:t>
            </w:r>
          </w:p>
          <w:p>
            <w:pPr>
              <w:pStyle w:val="null3"/>
              <w:jc w:val="left"/>
            </w:pPr>
            <w:r>
              <w:rPr>
                <w:rFonts w:ascii="仿宋_GB2312" w:hAnsi="仿宋_GB2312" w:cs="仿宋_GB2312" w:eastAsia="仿宋_GB2312"/>
                <w:sz w:val="21"/>
                <w:color w:val="000000"/>
              </w:rPr>
              <w:t>执行《</w:t>
            </w:r>
            <w:r>
              <w:rPr>
                <w:rFonts w:ascii="仿宋_GB2312" w:hAnsi="仿宋_GB2312" w:cs="仿宋_GB2312" w:eastAsia="仿宋_GB2312"/>
                <w:sz w:val="21"/>
                <w:color w:val="000000"/>
              </w:rPr>
              <w:t>DB6101/T3238-2025》、结合《园林绿化养护标准》（CJJ/T287-2018）、《城市古树名木养护复壮规范》（GB/T 51168）和项目所在地地方标准综合实施，强化可持续管理。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90"/>
              <w:ind w:right="150" w:firstLine="214"/>
              <w:jc w:val="both"/>
            </w:pPr>
            <w:r>
              <w:rPr>
                <w:rFonts w:ascii="仿宋_GB2312" w:hAnsi="仿宋_GB2312" w:cs="仿宋_GB2312" w:eastAsia="仿宋_GB2312"/>
                <w:sz w:val="21"/>
                <w:color w:val="000000"/>
              </w:rPr>
              <w:t>服务指标的具体要求：</w:t>
            </w:r>
          </w:p>
          <w:p>
            <w:pPr>
              <w:pStyle w:val="null3"/>
              <w:jc w:val="left"/>
            </w:pPr>
            <w:r>
              <w:rPr>
                <w:rFonts w:ascii="仿宋_GB2312" w:hAnsi="仿宋_GB2312" w:cs="仿宋_GB2312" w:eastAsia="仿宋_GB2312"/>
                <w:sz w:val="21"/>
                <w:color w:val="000000"/>
              </w:rPr>
              <w:t>（一）基础管护内容</w:t>
            </w:r>
          </w:p>
          <w:p>
            <w:pPr>
              <w:pStyle w:val="null3"/>
              <w:ind w:firstLine="214"/>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杂草清理。主要针对交通道路两侧林带和集中成片的绿化区域。及时清除杂草，适时疏松土壤，增加土壤通气性和促进微生物活动，加速有机质分解，有效改善树苗生根和生长条件</w:t>
            </w:r>
            <w:r>
              <w:rPr>
                <w:rFonts w:ascii="仿宋_GB2312" w:hAnsi="仿宋_GB2312" w:cs="仿宋_GB2312" w:eastAsia="仿宋_GB2312"/>
                <w:sz w:val="21"/>
                <w:color w:val="000000"/>
              </w:rPr>
              <w:t>。</w:t>
            </w:r>
          </w:p>
          <w:p>
            <w:pPr>
              <w:pStyle w:val="null3"/>
              <w:ind w:firstLine="214"/>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落叶清理。冬季乔木落叶后对林带内落叶进行清理，能有效防止森林火灾发生。</w:t>
            </w:r>
          </w:p>
          <w:p>
            <w:pPr>
              <w:pStyle w:val="null3"/>
              <w:ind w:firstLine="214"/>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3）.死树清理。树木干枯后极易滋生病虫害，极易引发扩散性林木疫情。</w:t>
            </w:r>
          </w:p>
          <w:p>
            <w:pPr>
              <w:pStyle w:val="null3"/>
              <w:jc w:val="left"/>
            </w:pPr>
            <w:r>
              <w:rPr>
                <w:rFonts w:ascii="仿宋_GB2312" w:hAnsi="仿宋_GB2312" w:cs="仿宋_GB2312" w:eastAsia="仿宋_GB2312"/>
                <w:sz w:val="21"/>
                <w:color w:val="000000"/>
              </w:rPr>
              <w:t>（二）管护方式</w:t>
            </w:r>
          </w:p>
          <w:p>
            <w:pPr>
              <w:pStyle w:val="null3"/>
              <w:jc w:val="left"/>
            </w:pPr>
            <w:r>
              <w:rPr>
                <w:rFonts w:ascii="仿宋_GB2312" w:hAnsi="仿宋_GB2312" w:cs="仿宋_GB2312" w:eastAsia="仿宋_GB2312"/>
                <w:sz w:val="21"/>
                <w:color w:val="000000"/>
              </w:rPr>
              <w:t>因北区管理办公室人员力量有限，拟委托有信誉、有实力、有技术的企业开展林木管护工作。基础管护为每年必须开展的工作，在重点区域林带内每年分别在</w:t>
            </w:r>
            <w:r>
              <w:rPr>
                <w:rFonts w:ascii="仿宋_GB2312" w:hAnsi="仿宋_GB2312" w:cs="仿宋_GB2312" w:eastAsia="仿宋_GB2312"/>
                <w:sz w:val="21"/>
                <w:color w:val="000000"/>
              </w:rPr>
              <w:t>8月、10月和12月开展三次管护，前两次进行杂草清理和死树清理工作，第三次进行落叶清理。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90"/>
              <w:ind w:left="105" w:right="150"/>
              <w:jc w:val="both"/>
            </w:pPr>
            <w:r>
              <w:rPr>
                <w:rFonts w:ascii="仿宋_GB2312" w:hAnsi="仿宋_GB2312" w:cs="仿宋_GB2312" w:eastAsia="仿宋_GB2312"/>
                <w:sz w:val="21"/>
                <w:color w:val="000000"/>
              </w:rPr>
              <w:t>服务质量、标准、期限、效率等要求：</w:t>
            </w:r>
          </w:p>
          <w:p>
            <w:pPr>
              <w:pStyle w:val="null3"/>
              <w:jc w:val="left"/>
            </w:pPr>
            <w:r>
              <w:rPr>
                <w:rFonts w:ascii="仿宋_GB2312" w:hAnsi="仿宋_GB2312" w:cs="仿宋_GB2312" w:eastAsia="仿宋_GB2312"/>
                <w:sz w:val="21"/>
                <w:color w:val="000000"/>
              </w:rPr>
              <w:t>（一）基础管护质量标准</w:t>
            </w:r>
          </w:p>
          <w:p>
            <w:pPr>
              <w:pStyle w:val="null3"/>
              <w:ind w:firstLine="214"/>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1）.植被存活与清理标准</w:t>
            </w:r>
          </w:p>
          <w:p>
            <w:pPr>
              <w:pStyle w:val="null3"/>
              <w:ind w:firstLine="428"/>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保活率：乔木保活率</w:t>
            </w:r>
            <w:r>
              <w:rPr>
                <w:rFonts w:ascii="仿宋_GB2312" w:hAnsi="仿宋_GB2312" w:cs="仿宋_GB2312" w:eastAsia="仿宋_GB2312"/>
                <w:sz w:val="21"/>
                <w:color w:val="000000"/>
              </w:rPr>
              <w:t>≥95%，地被植物覆盖率≥97%</w:t>
            </w:r>
          </w:p>
          <w:p>
            <w:pPr>
              <w:pStyle w:val="null3"/>
              <w:ind w:firstLine="428"/>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清理频次与内容：</w:t>
            </w:r>
            <w:r>
              <w:rPr>
                <w:rFonts w:ascii="仿宋_GB2312" w:hAnsi="仿宋_GB2312" w:cs="仿宋_GB2312" w:eastAsia="仿宋_GB2312"/>
                <w:sz w:val="21"/>
                <w:color w:val="000000"/>
              </w:rPr>
              <w:t>8</w:t>
            </w:r>
            <w:r>
              <w:rPr>
                <w:rFonts w:ascii="仿宋_GB2312" w:hAnsi="仿宋_GB2312" w:cs="仿宋_GB2312" w:eastAsia="仿宋_GB2312"/>
                <w:sz w:val="21"/>
                <w:color w:val="000000"/>
              </w:rPr>
              <w:t>月、</w:t>
            </w:r>
            <w:r>
              <w:rPr>
                <w:rFonts w:ascii="仿宋_GB2312" w:hAnsi="仿宋_GB2312" w:cs="仿宋_GB2312" w:eastAsia="仿宋_GB2312"/>
                <w:sz w:val="21"/>
                <w:color w:val="000000"/>
              </w:rPr>
              <w:t>10</w:t>
            </w:r>
            <w:r>
              <w:rPr>
                <w:rFonts w:ascii="仿宋_GB2312" w:hAnsi="仿宋_GB2312" w:cs="仿宋_GB2312" w:eastAsia="仿宋_GB2312"/>
                <w:sz w:val="21"/>
                <w:color w:val="000000"/>
              </w:rPr>
              <w:t>月全面清理杂草、死树、缠绕物。</w:t>
            </w:r>
            <w:r>
              <w:rPr>
                <w:rFonts w:ascii="仿宋_GB2312" w:hAnsi="仿宋_GB2312" w:cs="仿宋_GB2312" w:eastAsia="仿宋_GB2312"/>
                <w:sz w:val="21"/>
                <w:color w:val="000000"/>
              </w:rPr>
              <w:t xml:space="preserve">  </w:t>
            </w:r>
          </w:p>
          <w:p>
            <w:pPr>
              <w:pStyle w:val="null3"/>
              <w:ind w:firstLine="428"/>
              <w:jc w:val="left"/>
            </w:pPr>
            <w:r>
              <w:rPr>
                <w:rFonts w:ascii="仿宋_GB2312" w:hAnsi="仿宋_GB2312" w:cs="仿宋_GB2312" w:eastAsia="仿宋_GB2312"/>
                <w:sz w:val="21"/>
                <w:color w:val="000000"/>
              </w:rPr>
              <w:t xml:space="preserve"> 12月集中清理落叶，降低火灾隐患。  </w:t>
            </w:r>
          </w:p>
          <w:p>
            <w:pPr>
              <w:pStyle w:val="null3"/>
              <w:ind w:firstLine="214"/>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2）.生长状态：枝叶健康无黄叶、枯叶、病叶率≤5%，</w:t>
            </w:r>
          </w:p>
          <w:p>
            <w:pPr>
              <w:pStyle w:val="null3"/>
              <w:ind w:left="19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3）.环境卫生：杂草、树挂杂物、垃圾清理及时率≥99%；林下可燃物载量≤5顿/公顷，防火期前全面清理干净。</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管理规范与制度要求</w:t>
            </w:r>
          </w:p>
          <w:p>
            <w:pPr>
              <w:pStyle w:val="null3"/>
              <w:ind w:firstLine="214"/>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.责任分工：  </w:t>
            </w:r>
          </w:p>
          <w:p>
            <w:pPr>
              <w:pStyle w:val="null3"/>
              <w:ind w:firstLine="428"/>
              <w:jc w:val="left"/>
            </w:pPr>
            <w:r>
              <w:rPr>
                <w:rFonts w:ascii="仿宋_GB2312" w:hAnsi="仿宋_GB2312" w:cs="仿宋_GB2312" w:eastAsia="仿宋_GB2312"/>
                <w:sz w:val="21"/>
                <w:color w:val="000000"/>
              </w:rPr>
              <w:t>管护单位：需具备绿化管护类似项目经验，按计划执行三次年度集中管护。</w:t>
            </w:r>
            <w:r>
              <w:rPr>
                <w:rFonts w:ascii="仿宋_GB2312" w:hAnsi="仿宋_GB2312" w:cs="仿宋_GB2312" w:eastAsia="仿宋_GB2312"/>
                <w:sz w:val="21"/>
                <w:color w:val="000000"/>
              </w:rPr>
              <w:t xml:space="preserve">  </w:t>
            </w:r>
          </w:p>
          <w:p>
            <w:pPr>
              <w:pStyle w:val="null3"/>
              <w:ind w:firstLine="428"/>
              <w:jc w:val="left"/>
            </w:pPr>
            <w:r>
              <w:rPr>
                <w:rFonts w:ascii="仿宋_GB2312" w:hAnsi="仿宋_GB2312" w:cs="仿宋_GB2312" w:eastAsia="仿宋_GB2312"/>
                <w:sz w:val="21"/>
                <w:color w:val="000000"/>
              </w:rPr>
              <w:t>监管部门：</w:t>
            </w:r>
            <w:r>
              <w:rPr>
                <w:rFonts w:ascii="仿宋_GB2312" w:hAnsi="仿宋_GB2312" w:cs="仿宋_GB2312" w:eastAsia="仿宋_GB2312"/>
                <w:sz w:val="21"/>
                <w:color w:val="000000"/>
              </w:rPr>
              <w:t>项目实施监管部门定期</w:t>
            </w:r>
            <w:r>
              <w:rPr>
                <w:rFonts w:ascii="仿宋_GB2312" w:hAnsi="仿宋_GB2312" w:cs="仿宋_GB2312" w:eastAsia="仿宋_GB2312"/>
                <w:sz w:val="21"/>
                <w:color w:val="000000"/>
              </w:rPr>
              <w:t>检查，问题限期整改并记录归档。</w:t>
            </w:r>
            <w:r>
              <w:rPr>
                <w:rFonts w:ascii="仿宋_GB2312" w:hAnsi="仿宋_GB2312" w:cs="仿宋_GB2312" w:eastAsia="仿宋_GB2312"/>
                <w:sz w:val="21"/>
                <w:color w:val="000000"/>
              </w:rPr>
              <w:t xml:space="preserve">  </w:t>
            </w:r>
          </w:p>
          <w:p>
            <w:pPr>
              <w:pStyle w:val="null3"/>
              <w:ind w:firstLine="214"/>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.档案管理：  </w:t>
            </w:r>
          </w:p>
          <w:p>
            <w:pPr>
              <w:pStyle w:val="null3"/>
              <w:ind w:firstLine="428"/>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保存期</w:t>
            </w:r>
            <w:r>
              <w:rPr>
                <w:rFonts w:ascii="仿宋_GB2312" w:hAnsi="仿宋_GB2312" w:cs="仿宋_GB2312" w:eastAsia="仿宋_GB2312"/>
                <w:sz w:val="21"/>
                <w:color w:val="000000"/>
              </w:rPr>
              <w:t>≥10年，含管护日志、验收记录、资金凭证</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1"/>
                <w:color w:val="000000"/>
              </w:rPr>
              <w:t>（三）服务期限</w:t>
            </w:r>
          </w:p>
          <w:p>
            <w:pPr>
              <w:pStyle w:val="null3"/>
              <w:jc w:val="left"/>
            </w:pPr>
            <w:r>
              <w:rPr>
                <w:rFonts w:ascii="仿宋_GB2312" w:hAnsi="仿宋_GB2312" w:cs="仿宋_GB2312" w:eastAsia="仿宋_GB2312"/>
                <w:sz w:val="21"/>
                <w:color w:val="000000"/>
              </w:rPr>
              <w:t>自合同签订后至</w:t>
            </w:r>
            <w:r>
              <w:rPr>
                <w:rFonts w:ascii="仿宋_GB2312" w:hAnsi="仿宋_GB2312" w:cs="仿宋_GB2312" w:eastAsia="仿宋_GB2312"/>
                <w:sz w:val="21"/>
                <w:color w:val="000000"/>
              </w:rPr>
              <w:t>2025年12月31日完成。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自合同签订后至2025年12月31日完成。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渭南高新区规划区外重点林带。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按照合同约定、国家标准或行业标准或地方标准，组成验收组进行验收。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8月、10月、12月开展三次管护，每次管护后进行验收，在第三次管护验收合格后一次性支付全额合同价款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（3）甲方未给乙方提供必要的工作条件而造成停窝工时，甲方应付给乙方停窝工费，停窝工费按合同约定的平均工日产值计算，同时工期顺延。 （4）双方本着友好合作的态度,对合同履行过程中发生的纠纷应及时协商解决，协商不成的，向采购人所在地有管辖权的人民法院诉讼解决。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税收缴纳证明.docx 合同履约能力.docx 财务状况证明.docx 供应商基本情况.docx 供应商应提交的相关资格证明材料 没有重大违法记录的书面声明.docx 响应函 社会保障资金缴纳证明.docx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财务状况证明.docx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供应商须具备独立承担民事责任能力的法人或其他组织，并出具合法有效的营业执照（含2024年年度报告，经营范围含林带管护或绿化养护或园林绿化）</w:t>
            </w:r>
          </w:p>
        </w:tc>
        <w:tc>
          <w:tcPr>
            <w:tcW w:type="dxa" w:w="1661"/>
          </w:tcPr>
          <w:p>
            <w:pPr>
              <w:pStyle w:val="null3"/>
            </w:pPr>
            <w:r>
              <w:rPr>
                <w:rFonts w:ascii="仿宋_GB2312" w:hAnsi="仿宋_GB2312" w:cs="仿宋_GB2312" w:eastAsia="仿宋_GB2312"/>
              </w:rPr>
              <w:t>供应商基本情况.docx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加盖公章</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具有园林绿化相关专业中级及以上职称</w:t>
            </w:r>
          </w:p>
        </w:tc>
        <w:tc>
          <w:tcPr>
            <w:tcW w:type="dxa" w:w="1661"/>
          </w:tcPr>
          <w:p>
            <w:pPr>
              <w:pStyle w:val="null3"/>
            </w:pPr>
            <w:r>
              <w:rPr>
                <w:rFonts w:ascii="仿宋_GB2312" w:hAnsi="仿宋_GB2312" w:cs="仿宋_GB2312" w:eastAsia="仿宋_GB2312"/>
              </w:rPr>
              <w:t>项目负责人资格证明.docx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财务状况证明.docx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2024年1月至今已缴纳的至少三个月纳税证明或完税证明。依法免税的单位应提供相关证明材料</w:t>
            </w:r>
          </w:p>
        </w:tc>
        <w:tc>
          <w:tcPr>
            <w:tcW w:type="dxa" w:w="1661"/>
          </w:tcPr>
          <w:p>
            <w:pPr>
              <w:pStyle w:val="null3"/>
            </w:pPr>
            <w:r>
              <w:rPr>
                <w:rFonts w:ascii="仿宋_GB2312" w:hAnsi="仿宋_GB2312" w:cs="仿宋_GB2312" w:eastAsia="仿宋_GB2312"/>
              </w:rPr>
              <w:t>税收缴纳证明.docx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2024年1月至今已缴纳的至少三个月的社会保障资金缴存单据或社保机构开具的社会保险参保缴费情况证明、单据或证明上应有社保机构或代收机构的公章。依法不需要缴纳社会保障资金的供应商应提供相关文件证明资料</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没有重大违法记录的书面声明.docx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供应商具有履行合同所必需的设备和专业技术能力</w:t>
            </w:r>
          </w:p>
        </w:tc>
        <w:tc>
          <w:tcPr>
            <w:tcW w:type="dxa" w:w="1661"/>
          </w:tcPr>
          <w:p>
            <w:pPr>
              <w:pStyle w:val="null3"/>
            </w:pPr>
            <w:r>
              <w:rPr>
                <w:rFonts w:ascii="仿宋_GB2312" w:hAnsi="仿宋_GB2312" w:cs="仿宋_GB2312" w:eastAsia="仿宋_GB2312"/>
              </w:rPr>
              <w:t>合同履约能力.docx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信用中国网、中国政府采购网查询情况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信用中国网、中国政府采购网查询情况.docx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供应商关系关联情况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供应商企业关系关联承诺书.docx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保证金缴存情况</w:t>
            </w:r>
          </w:p>
        </w:tc>
        <w:tc>
          <w:tcPr>
            <w:tcW w:type="dxa" w:w="3322"/>
          </w:tcPr>
          <w:p>
            <w:pPr>
              <w:pStyle w:val="null3"/>
            </w:pPr>
            <w:r>
              <w:rPr>
                <w:rFonts w:ascii="仿宋_GB2312" w:hAnsi="仿宋_GB2312" w:cs="仿宋_GB2312" w:eastAsia="仿宋_GB2312"/>
              </w:rPr>
              <w:t>按照磋商文件规定的缴（交）存方式及金额等要求，提供保证金缴存情况证明资料</w:t>
            </w:r>
          </w:p>
        </w:tc>
        <w:tc>
          <w:tcPr>
            <w:tcW w:type="dxa" w:w="1661"/>
          </w:tcPr>
          <w:p>
            <w:pPr>
              <w:pStyle w:val="null3"/>
            </w:pPr>
            <w:r>
              <w:rPr>
                <w:rFonts w:ascii="仿宋_GB2312" w:hAnsi="仿宋_GB2312" w:cs="仿宋_GB2312" w:eastAsia="仿宋_GB2312"/>
              </w:rPr>
              <w:t>磋商保证金.docx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供应商基本情况.docx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税收缴纳证明.docx 信用中国网、中国政府采购网查询情况.docx 磋商保证金.docx 服务内容及服务邀请应答表 财务状况证明.docx 中小企业声明函 商务应答表 供应商应提交的相关资格证明材料 报价表 响应文件封面 合同履约能力.docx 项目负责人资格证明.docx 企业综合实力.docx 供应商企业关系关联承诺书.docx 残疾人福利性单位声明函 服务方案 供应商基本情况.docx 标的清单 没有重大违法记录的书面声明.docx 响应函 法定代表人身份证明或法定代表人授权委托书.docx 监狱企业的证明文件 社会保障资金缴纳证明.docx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 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自合同签订后至2025年12月31日完成</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渭南高新区规划区外重点林带</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和最后报价相同的，按照服务方案优劣顺序推荐；评审得分和最后报价及服务方案得分均相同的，由磋商小组共同推荐本采购项目其他指标进行对比，依次类推。</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（1）企业业绩：提供近三年（2022年7月至今）承担过类似项目业绩，有一项有效业绩得基本分3分；每增加一项有效类似业绩加1分，最高加3分（以合同为准，时间以合同签订时间为准）。 （2）项目负责人：①具有园林绿化相关专业高级职称得2分，中级职称得1分，其余不得分。②提供近三年（2022年7月至今）承担过类似项目业绩，有一项有效业绩得基本分2分；每增加一项有效类似业绩加1分，最高加2分（时间以合同签订时间为准，合同中约定项目负责人姓名为准）。 （3）其他人员（除项目负责人外）：拟投入其他人员中具有与本项目相关专业执业资格，每提供1名人员得0.5分，最高得3分。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服务方案技术方案的专业性与科学性</w:t>
            </w:r>
          </w:p>
        </w:tc>
        <w:tc>
          <w:tcPr>
            <w:tcW w:type="dxa" w:w="2492"/>
          </w:tcPr>
          <w:p>
            <w:pPr>
              <w:pStyle w:val="null3"/>
            </w:pPr>
            <w:r>
              <w:rPr>
                <w:rFonts w:ascii="仿宋_GB2312" w:hAnsi="仿宋_GB2312" w:cs="仿宋_GB2312" w:eastAsia="仿宋_GB2312"/>
              </w:rPr>
              <w:t>植物养护技术措施、绿地保洁技术措施、植物配置与更新计划技术措施、对古树名木等专项技术保护措施详细程度进行评分，技术措施科学、合理、针对性强、可操作性强得9.1-15分；技术措施较科学、较合理、针对性较强、可操作性较强得4.1-9分；技术措施合理性、针对性、可操作性均一般，但不被评定为不响应得1-4分；未响应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服务方案管理实施计划与组织保障</w:t>
            </w:r>
          </w:p>
        </w:tc>
        <w:tc>
          <w:tcPr>
            <w:tcW w:type="dxa" w:w="2492"/>
          </w:tcPr>
          <w:p>
            <w:pPr>
              <w:pStyle w:val="null3"/>
            </w:pPr>
            <w:r>
              <w:rPr>
                <w:rFonts w:ascii="仿宋_GB2312" w:hAnsi="仿宋_GB2312" w:cs="仿宋_GB2312" w:eastAsia="仿宋_GB2312"/>
              </w:rPr>
              <w:t>（1）项目管理团队架构清晰合理、关键岗位职责明确得2.1-5分；架构较清晰较合理、关键岗位职责较明确得1-2分；未响应得0分。 （2）各工种人员配置及技能等级配置满足本项目需求，有系统的岗前、岗中培训计划得2.1-5分；人员配置及技能等级配置基足本项目需求，岗前、岗中培训计划一般得1-2分；未响应得0分。 （3）拟投入的机械设备、工具、安全防护用品有完善的维保和存储管理制度得2.1-5分；拟投入的机械设备、工具、安全防护用品维保和存储管理制度一般得1-2分；未响应得0分。 （4）对极端天气、火灾、重大病虫害、安全事故、突发事件等有完善的、可操作应急预案，应急预案详细得2.1-5分；应急预案一般得1-2分；未响应得0分。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服务方案质量管理与保障措施</w:t>
            </w:r>
          </w:p>
        </w:tc>
        <w:tc>
          <w:tcPr>
            <w:tcW w:type="dxa" w:w="2492"/>
          </w:tcPr>
          <w:p>
            <w:pPr>
              <w:pStyle w:val="null3"/>
            </w:pPr>
            <w:r>
              <w:rPr>
                <w:rFonts w:ascii="仿宋_GB2312" w:hAnsi="仿宋_GB2312" w:cs="仿宋_GB2312" w:eastAsia="仿宋_GB2312"/>
              </w:rPr>
              <w:t>质量保证措施，质量保证措施方案有效可行，具有健全的质量检查、监督、考核体系、工作流程、档案管理得7.1-10分；质量保证措施方案较合理、内部管理架构较完善得3.1-7分；质量保证措施一般、内部管理架构一般得1-3分；未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服务方案进度计划及保证措施</w:t>
            </w:r>
          </w:p>
        </w:tc>
        <w:tc>
          <w:tcPr>
            <w:tcW w:type="dxa" w:w="2492"/>
          </w:tcPr>
          <w:p>
            <w:pPr>
              <w:pStyle w:val="null3"/>
            </w:pPr>
            <w:r>
              <w:rPr>
                <w:rFonts w:ascii="仿宋_GB2312" w:hAnsi="仿宋_GB2312" w:cs="仿宋_GB2312" w:eastAsia="仿宋_GB2312"/>
              </w:rPr>
              <w:t>根据项目任务和时限要求，提供了详细可行、科学合理的项目实施计划和方案进度安排合理、措施完整、可操作性强得4.1-10分；进度安排一般、措施一般、可操作性一般得1-4分、不响应得0分。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服务方案重难点 分析</w:t>
            </w:r>
          </w:p>
        </w:tc>
        <w:tc>
          <w:tcPr>
            <w:tcW w:type="dxa" w:w="2492"/>
          </w:tcPr>
          <w:p>
            <w:pPr>
              <w:pStyle w:val="null3"/>
            </w:pPr>
            <w:r>
              <w:rPr>
                <w:rFonts w:ascii="仿宋_GB2312" w:hAnsi="仿宋_GB2312" w:cs="仿宋_GB2312" w:eastAsia="仿宋_GB2312"/>
              </w:rPr>
              <w:t>重点难点分析准确到位、解决措施合理、有详细说明得5.1-10分；重点难点分析基本准确到位、解决措施基本合理、各方面有说明但说明表述较清晰得1-5分； 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服务方案合理化 建议</w:t>
            </w:r>
          </w:p>
        </w:tc>
        <w:tc>
          <w:tcPr>
            <w:tcW w:type="dxa" w:w="2492"/>
          </w:tcPr>
          <w:p>
            <w:pPr>
              <w:pStyle w:val="null3"/>
            </w:pPr>
            <w:r>
              <w:rPr>
                <w:rFonts w:ascii="仿宋_GB2312" w:hAnsi="仿宋_GB2312" w:cs="仿宋_GB2312" w:eastAsia="仿宋_GB2312"/>
              </w:rPr>
              <w:t>针对本项目提出全面、详细、合理、可行、有针对性的意见和建议，能最大程度满足项目需要，根据响应程度，建议合理、可行、操作性强得3.1-5分，建议一般、较可行得1-3分，未提供不得分。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服务方案服务承诺</w:t>
            </w:r>
          </w:p>
        </w:tc>
        <w:tc>
          <w:tcPr>
            <w:tcW w:type="dxa" w:w="2492"/>
          </w:tcPr>
          <w:p>
            <w:pPr>
              <w:pStyle w:val="null3"/>
            </w:pPr>
            <w:r>
              <w:rPr>
                <w:rFonts w:ascii="仿宋_GB2312" w:hAnsi="仿宋_GB2312" w:cs="仿宋_GB2312" w:eastAsia="仿宋_GB2312"/>
              </w:rPr>
              <w:t>根据本项目的采购内容，服务期限做出切实可行的服务承诺，确保项目能按时保质保量完成。承诺内容清晰、承诺指标明确性强，后续服务具有可延续性，得3.1-5分；承诺及措施科学合理，基本满足项目需求，得1-3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2.满足磋商文件实质性要求且最终报价最低的供应商的报价为磋商基准价，其价格分为满分10分。 3.磋商报价得分=（磋商基准价/最终磋商报价）×10%×100的公式计算得分。 4.磋商报价不完整的，不进入评标标准价的计算，本项得0分 5.经磋商小组一致认定，供应商的最终磋商报价低于公认市场成本，或超过最高限价,其响应将被拒绝。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详见附件：供应商基本情况.docx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详见附件：项目负责人资格证明.docx</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详见附件：没有重大违法记录的书面声明.docx</w:t>
      </w:r>
    </w:p>
    <w:p>
      <w:pPr>
        <w:pStyle w:val="null3"/>
        <w:ind w:firstLine="960"/>
      </w:pPr>
      <w:r>
        <w:rPr>
          <w:rFonts w:ascii="仿宋_GB2312" w:hAnsi="仿宋_GB2312" w:cs="仿宋_GB2312" w:eastAsia="仿宋_GB2312"/>
        </w:rPr>
        <w:t>详见附件：合同履约能力.docx</w:t>
      </w:r>
    </w:p>
    <w:p>
      <w:pPr>
        <w:pStyle w:val="null3"/>
        <w:ind w:firstLine="960"/>
      </w:pPr>
      <w:r>
        <w:rPr>
          <w:rFonts w:ascii="仿宋_GB2312" w:hAnsi="仿宋_GB2312" w:cs="仿宋_GB2312" w:eastAsia="仿宋_GB2312"/>
        </w:rPr>
        <w:t>详见附件：信用中国网、中国政府采购网查询情况.docx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详见附件：企业综合实力.docx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