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版本号：ZCSP-渭南高新区-2025-0003、DLCG2025-06420250821001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渭南高新区体育健身步道项目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ZCSP-渭南高新区-2025-0003、DLCG2025-064</w:t>
      </w:r>
      <w:r>
        <w:br/>
      </w:r>
      <w:r>
        <w:br/>
      </w:r>
      <w:r>
        <w:br/>
      </w:r>
    </w:p>
    <w:p>
      <w:pPr>
        <w:pStyle w:val="null3"/>
        <w:jc w:val="center"/>
        <w:outlineLvl w:val="2"/>
      </w:pPr>
      <w:r>
        <w:rPr>
          <w:rFonts w:ascii="仿宋_GB2312" w:hAnsi="仿宋_GB2312" w:cs="仿宋_GB2312" w:eastAsia="仿宋_GB2312"/>
          <w:sz w:val="28"/>
          <w:b/>
        </w:rPr>
        <w:t>渭南高新区教育文体局</w:t>
      </w:r>
    </w:p>
    <w:p>
      <w:pPr>
        <w:pStyle w:val="null3"/>
        <w:jc w:val="center"/>
        <w:outlineLvl w:val="2"/>
      </w:pPr>
      <w:r>
        <w:rPr>
          <w:rFonts w:ascii="仿宋_GB2312" w:hAnsi="仿宋_GB2312" w:cs="仿宋_GB2312" w:eastAsia="仿宋_GB2312"/>
          <w:sz w:val="28"/>
          <w:b/>
        </w:rPr>
        <w:t>陕西鼎力中创项目管理有限公司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陕西鼎力中创项目管理有限公司</w:t>
      </w:r>
      <w:r>
        <w:rPr>
          <w:rFonts w:ascii="仿宋_GB2312" w:hAnsi="仿宋_GB2312" w:cs="仿宋_GB2312" w:eastAsia="仿宋_GB2312"/>
        </w:rPr>
        <w:t>（以下简称“代理机构”）受</w:t>
      </w:r>
      <w:r>
        <w:rPr>
          <w:rFonts w:ascii="仿宋_GB2312" w:hAnsi="仿宋_GB2312" w:cs="仿宋_GB2312" w:eastAsia="仿宋_GB2312"/>
        </w:rPr>
        <w:t>渭南高新区教育文体局</w:t>
      </w:r>
      <w:r>
        <w:rPr>
          <w:rFonts w:ascii="仿宋_GB2312" w:hAnsi="仿宋_GB2312" w:cs="仿宋_GB2312" w:eastAsia="仿宋_GB2312"/>
        </w:rPr>
        <w:t>委托，拟对</w:t>
      </w:r>
      <w:r>
        <w:rPr>
          <w:rFonts w:ascii="仿宋_GB2312" w:hAnsi="仿宋_GB2312" w:cs="仿宋_GB2312" w:eastAsia="仿宋_GB2312"/>
        </w:rPr>
        <w:t>渭南高新区体育健身步道项目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ZCSP-渭南高新区-2025-0003、DLCG2025-064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渭南高新区体育健身步道项目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体育健身步道路面铺设工程、标识图案及标线工程。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采购包1（渭南高新区体育健身步道项目）：属于专门面向中小企业采购。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负责人）或授权代表身份证明：供应商应授权合法的人员参加磋商全过程，其中法定代表人（负责人）直接参加的，须出具法定代表人（负责人）身份证，并与营业执照上信息一致。法定代表人（负责人）授权代表参加的，须出具法定代表人（负责人）授权书及授权代表身份证。</w:t>
      </w:r>
    </w:p>
    <w:p>
      <w:pPr>
        <w:pStyle w:val="null3"/>
      </w:pPr>
      <w:r>
        <w:rPr>
          <w:rFonts w:ascii="仿宋_GB2312" w:hAnsi="仿宋_GB2312" w:cs="仿宋_GB2312" w:eastAsia="仿宋_GB2312"/>
        </w:rPr>
        <w:t>2、企业资质要求：供应商须具备市政公用工程施工总承包三级（含三级）及以上资质，并具有有效的安全生产许可证</w:t>
      </w:r>
    </w:p>
    <w:p>
      <w:pPr>
        <w:pStyle w:val="null3"/>
      </w:pPr>
      <w:r>
        <w:rPr>
          <w:rFonts w:ascii="仿宋_GB2312" w:hAnsi="仿宋_GB2312" w:cs="仿宋_GB2312" w:eastAsia="仿宋_GB2312"/>
        </w:rPr>
        <w:t>3、项目经理资质要求：拟派项目经理须具有市政公用工程二级及以上注册建造师资格并具有有效的安全生产考核合格证，且无在建工程</w:t>
      </w:r>
    </w:p>
    <w:p>
      <w:pPr>
        <w:pStyle w:val="null3"/>
      </w:pPr>
      <w:r>
        <w:rPr>
          <w:rFonts w:ascii="仿宋_GB2312" w:hAnsi="仿宋_GB2312" w:cs="仿宋_GB2312" w:eastAsia="仿宋_GB2312"/>
        </w:rPr>
        <w:t>4、信用信息：不得为“信用中国”网站(http://www.creditchina.gov.cn)列入“失信被执行人（页面跳转至“中国执行信息公开网”http://zxgk.court.gov.cn/shixin/）、重大税收违法失信主体的供应商；不得为中国政府采购网(http://www.ccgp.gov.cn)“政府采购严重违法失信行为记录名单”中的供应商</w:t>
      </w:r>
    </w:p>
    <w:p>
      <w:pPr>
        <w:pStyle w:val="null3"/>
      </w:pPr>
      <w:r>
        <w:rPr>
          <w:rFonts w:ascii="仿宋_GB2312" w:hAnsi="仿宋_GB2312" w:cs="仿宋_GB2312" w:eastAsia="仿宋_GB2312"/>
        </w:rPr>
        <w:t>5、磋商保证金缴纳凭证：提供磋商保证金缴纳凭证或担保机构出具的保函</w:t>
      </w:r>
    </w:p>
    <w:p>
      <w:pPr>
        <w:pStyle w:val="null3"/>
      </w:pPr>
      <w:r>
        <w:rPr>
          <w:rFonts w:ascii="仿宋_GB2312" w:hAnsi="仿宋_GB2312" w:cs="仿宋_GB2312" w:eastAsia="仿宋_GB2312"/>
        </w:rPr>
        <w:t>6、供应商不得存在下列情形之一：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渭南高新区教育文体局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渭南高新区（北区）香山大道3号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杨股长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13891360992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陕西鼎力中创项目管理有限公司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渭南市临渭区乐天大街碧桂园翡翠公馆北门11栋商铺2层208号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郑琳娜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0913-2185335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高新区政府采购管理股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贺晓静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15691397777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开户名称：陕西鼎力中创项目管理有限公司</w:t>
            </w:r>
          </w:p>
          <w:p>
            <w:pPr>
              <w:pStyle w:val="null3"/>
            </w:pPr>
            <w:r>
              <w:rPr>
                <w:rFonts w:ascii="仿宋_GB2312" w:hAnsi="仿宋_GB2312" w:cs="仿宋_GB2312" w:eastAsia="仿宋_GB2312"/>
              </w:rPr>
              <w:t>开户银行：工行渭南仓程路支行</w:t>
            </w:r>
          </w:p>
          <w:p>
            <w:pPr>
              <w:pStyle w:val="null3"/>
            </w:pPr>
            <w:r>
              <w:rPr>
                <w:rFonts w:ascii="仿宋_GB2312" w:hAnsi="仿宋_GB2312" w:cs="仿宋_GB2312" w:eastAsia="仿宋_GB2312"/>
              </w:rPr>
              <w:t>银行账号：2605 0259 1910 0033 019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渭南高新区教育文体局</w:t>
      </w:r>
      <w:r>
        <w:rPr>
          <w:rFonts w:ascii="仿宋_GB2312" w:hAnsi="仿宋_GB2312" w:cs="仿宋_GB2312" w:eastAsia="仿宋_GB2312"/>
        </w:rPr>
        <w:t>和</w:t>
      </w:r>
      <w:r>
        <w:rPr>
          <w:rFonts w:ascii="仿宋_GB2312" w:hAnsi="仿宋_GB2312" w:cs="仿宋_GB2312" w:eastAsia="仿宋_GB2312"/>
        </w:rPr>
        <w:t>陕西鼎力中创项目管理有限公司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渭南高新区教育文体局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陕西鼎力中创项目管理有限公司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渭南高新区教育文体局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陕西鼎力中创项目管理有限公司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（1）本工程应按要求完成工程全部内容。 （2）本工程验收标准应符合国家相关工程管理规定及行业标准。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陕西鼎力中创项目管理有限公司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陕西鼎力中创项目管理有限公司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陕西鼎力中创项目管理有限公司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联系人：郑琳娜</w:t>
      </w:r>
    </w:p>
    <w:p>
      <w:pPr>
        <w:pStyle w:val="null3"/>
      </w:pPr>
      <w:r>
        <w:rPr>
          <w:rFonts w:ascii="仿宋_GB2312" w:hAnsi="仿宋_GB2312" w:cs="仿宋_GB2312" w:eastAsia="仿宋_GB2312"/>
        </w:rPr>
        <w:t>联系电话：0913-2185335</w:t>
      </w:r>
    </w:p>
    <w:p>
      <w:pPr>
        <w:pStyle w:val="null3"/>
      </w:pPr>
      <w:r>
        <w:rPr>
          <w:rFonts w:ascii="仿宋_GB2312" w:hAnsi="仿宋_GB2312" w:cs="仿宋_GB2312" w:eastAsia="仿宋_GB2312"/>
        </w:rPr>
        <w:t>地址：渭南市临渭区乐天大街碧桂园翡翠公馆北门11栋商铺2层208号</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2,130,000.00</w:t>
      </w:r>
    </w:p>
    <w:p>
      <w:pPr>
        <w:pStyle w:val="null3"/>
      </w:pPr>
      <w:r>
        <w:rPr>
          <w:rFonts w:ascii="仿宋_GB2312" w:hAnsi="仿宋_GB2312" w:cs="仿宋_GB2312" w:eastAsia="仿宋_GB2312"/>
        </w:rPr>
        <w:t>采购包最高限价（元）: 1,885,138.92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渭南高新区体育健身步道项目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2,130,000.00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标的名称：渭南高新区体育健身步道项目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项目概况:</w:t>
            </w:r>
            <w:r>
              <w:rPr>
                <w:rFonts w:ascii="仿宋_GB2312" w:hAnsi="仿宋_GB2312" w:cs="仿宋_GB2312" w:eastAsia="仿宋_GB2312"/>
                <w:sz w:val="21"/>
              </w:rPr>
              <w:t>体育健身步道路面铺设工程、标识图案及标线工程</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工期:</w:t>
            </w:r>
            <w:r>
              <w:rPr>
                <w:rFonts w:ascii="仿宋_GB2312" w:hAnsi="仿宋_GB2312" w:cs="仿宋_GB2312" w:eastAsia="仿宋_GB2312"/>
                <w:sz w:val="20"/>
              </w:rPr>
              <w:t>自合同签订之日起</w:t>
            </w:r>
            <w:r>
              <w:rPr>
                <w:rFonts w:ascii="仿宋_GB2312" w:hAnsi="仿宋_GB2312" w:cs="仿宋_GB2312" w:eastAsia="仿宋_GB2312"/>
                <w:sz w:val="20"/>
              </w:rPr>
              <w:t>60日历天</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质量标准</w:t>
            </w:r>
            <w:r>
              <w:rPr>
                <w:rFonts w:ascii="仿宋_GB2312" w:hAnsi="仿宋_GB2312" w:cs="仿宋_GB2312" w:eastAsia="仿宋_GB2312"/>
                <w:sz w:val="21"/>
                <w:b/>
              </w:rPr>
              <w:t>:</w:t>
            </w:r>
            <w:r>
              <w:rPr>
                <w:rFonts w:ascii="仿宋_GB2312" w:hAnsi="仿宋_GB2312" w:cs="仿宋_GB2312" w:eastAsia="仿宋_GB2312"/>
                <w:sz w:val="20"/>
              </w:rPr>
              <w:t>工程质量达到国家现行验收规范</w:t>
            </w:r>
            <w:r>
              <w:rPr>
                <w:rFonts w:ascii="仿宋_GB2312" w:hAnsi="仿宋_GB2312" w:cs="仿宋_GB2312" w:eastAsia="仿宋_GB2312"/>
                <w:sz w:val="20"/>
              </w:rPr>
              <w:t>“合格”标准</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质保期:</w:t>
            </w:r>
            <w:r>
              <w:rPr>
                <w:rFonts w:ascii="仿宋_GB2312" w:hAnsi="仿宋_GB2312" w:cs="仿宋_GB2312" w:eastAsia="仿宋_GB2312"/>
                <w:sz w:val="20"/>
              </w:rPr>
              <w:t>2年</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rPr>
              <w:t>验收标准:</w:t>
            </w:r>
          </w:p>
          <w:p>
            <w:pPr>
              <w:pStyle w:val="null3"/>
            </w:pPr>
            <w:r>
              <w:rPr>
                <w:rFonts w:ascii="仿宋_GB2312" w:hAnsi="仿宋_GB2312" w:cs="仿宋_GB2312" w:eastAsia="仿宋_GB2312"/>
              </w:rPr>
              <w:t>（</w:t>
            </w:r>
            <w:r>
              <w:rPr>
                <w:rFonts w:ascii="仿宋_GB2312" w:hAnsi="仿宋_GB2312" w:cs="仿宋_GB2312" w:eastAsia="仿宋_GB2312"/>
              </w:rPr>
              <w:t>1）本工程应按要求完成工程全部内容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2）本工程验收标准应符合国家相关工程管理规定及行业标准</w:t>
            </w:r>
          </w:p>
          <w:p>
            <w:pPr>
              <w:pStyle w:val="null3"/>
              <w:jc w:val="both"/>
            </w:pP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rPr>
              <w:t>其他要求:</w:t>
            </w:r>
            <w:r>
              <w:rPr>
                <w:rFonts w:ascii="仿宋_GB2312" w:hAnsi="仿宋_GB2312" w:cs="仿宋_GB2312" w:eastAsia="仿宋_GB2312"/>
                <w:sz w:val="21"/>
              </w:rPr>
              <w:t>合同价格包括：工程施工过程中所需的人工费、材料、设备费和施工机具使用费和企业管理费、利润、税金以及一定范围内的风险费用等</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本工程的施工过程和成果必须符合国家有关工程建设标准强制性条文和国家或有关部门关于工程施工方面现行的标准、规范、定额、办法、示例，以及陕西省关于工程施工方面的文件、规定； 采购人可根据工程实际情况增减标准、规范，在施工过程中，如果国家或有关部门颁布了新的技术部分准或规范，则承包人应采用新的标准或规范进行施工；</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自合同签订之日起60日历天。2、质量标准：工程质量达到国家现行验收规范“合格”标准。3、付款方式:工程竣工验收合格后支付合同价款的97%，剩余款项一年后支付。4、验收标准:（1）本工程应按要求完成工程全部内容;（2）本工程验收标准应符合国家相关工程管理规定及行业标准。5、合同条款:具体详见采购合同。6、质保期：2年。7、中标（成交）供应商在中标（成交）结果公告发布后3个工作日内提供叁套纸质投标文件（经编标工具生成的文件直接打印并加盖公章），递交的纸质版文件内容确保与线上电子文件保持一致，不允许修改和补充。 8、成交供应商应在磋商会议结束后3日内向采购人提交最终版《工程量清单表》，供应商最终版《工程量清单表》中的总报价应与最终磋商总报价保持一致。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（1）具有独立承担民事责任的能力：供应商应是独立承担民事责任能力的法人、其他组织或自然人，法人、其他组织须提供合法有效的营业执照或事业单位法人证书等证明资料，自然人须提供身份证明。 （2）具有良好的商业信誉和健全的财务会计制度：提供2024年度经审计的财务报告（成立时间至开标时间不足一年的可提供成立后任意时段的资产负债表）或开标前六个月内其基本账户银行出具的资信证明或财政部门认可的政府采购专业担保机构出具的担保函。 （3）有依法缴纳税收和社会保障资金的良好记录：①提供2025年1月1日至今已缴存的任意一个月的纳税证明或完税证明（成立不足一个月的提供依法纳税的承诺书，格式自拟）； ②提供2025年1月1日至今已缴存的任意一个月的社会保障资金缴存单据或社保机构开具的社会保险参保缴费情况证明（成立不足一个月的提供将依法交纳社会保障资金的承诺书，格式自拟）； 注：依法免税或不需要缴纳社会保险的供应商提供相关部门出具的证明文件。 （4）具有履行合同所必需的设备和专业技术能力：提供具有履行合同所必需的设备和专业技术能力的承诺书 （5）参加政府采购活动前三年内，在经营活动中没有重大违法记录：提供参加政府采购活动前三年内，在经营活动中没有重大违法记录的书面声明。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资格证明材料相关附件.docx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法定代表人（负责人）或授权代表身份证明</w:t>
            </w:r>
          </w:p>
        </w:tc>
        <w:tc>
          <w:tcPr>
            <w:tcW w:type="dxa" w:w="3322"/>
          </w:tcPr>
          <w:p>
            <w:pPr>
              <w:pStyle w:val="null3"/>
            </w:pPr>
            <w:r>
              <w:rPr>
                <w:rFonts w:ascii="仿宋_GB2312" w:hAnsi="仿宋_GB2312" w:cs="仿宋_GB2312" w:eastAsia="仿宋_GB2312"/>
              </w:rPr>
              <w:t>供应商应授权合法的人员参加磋商全过程，其中法定代表人（负责人）直接参加的，须出具法定代表人（负责人）身份证，并与营业执照上信息一致。法定代表人（负责人）授权代表参加的，须出具法定代表人（负责人）授权书及授权代表身份证。</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供应商须具备市政公用工程施工总承包三级（含三级）及以上资质，并具有有效的安全生产许可证</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项目经理资质要求</w:t>
            </w:r>
          </w:p>
        </w:tc>
        <w:tc>
          <w:tcPr>
            <w:tcW w:type="dxa" w:w="3322"/>
          </w:tcPr>
          <w:p>
            <w:pPr>
              <w:pStyle w:val="null3"/>
            </w:pPr>
            <w:r>
              <w:rPr>
                <w:rFonts w:ascii="仿宋_GB2312" w:hAnsi="仿宋_GB2312" w:cs="仿宋_GB2312" w:eastAsia="仿宋_GB2312"/>
              </w:rPr>
              <w:t>拟派项目经理须具有市政公用工程二级及以上注册建造师资格并具有有效的安全生产考核合格证，且无在建工程</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磋商保证金缴纳凭证</w:t>
            </w:r>
          </w:p>
        </w:tc>
        <w:tc>
          <w:tcPr>
            <w:tcW w:type="dxa" w:w="3322"/>
          </w:tcPr>
          <w:p>
            <w:pPr>
              <w:pStyle w:val="null3"/>
            </w:pPr>
            <w:r>
              <w:rPr>
                <w:rFonts w:ascii="仿宋_GB2312" w:hAnsi="仿宋_GB2312" w:cs="仿宋_GB2312" w:eastAsia="仿宋_GB2312"/>
              </w:rPr>
              <w:t>提供磋商保证金缴纳凭证或担保机构出具的保函</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供应商不得存在下列情形之一</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资格证明材料相关附件.docx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投标（响应）有效期</w:t>
            </w:r>
          </w:p>
        </w:tc>
        <w:tc>
          <w:tcPr>
            <w:tcW w:type="dxa" w:w="3322"/>
          </w:tcPr>
          <w:p>
            <w:pPr>
              <w:pStyle w:val="null3"/>
            </w:pPr>
            <w:r>
              <w:rPr>
                <w:rFonts w:ascii="仿宋_GB2312" w:hAnsi="仿宋_GB2312" w:cs="仿宋_GB2312" w:eastAsia="仿宋_GB2312"/>
              </w:rPr>
              <w:t>投标（响应）有效期满足磋商文件的要求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响应文件签字和盖章满足磋商文件的要求</w:t>
            </w:r>
          </w:p>
        </w:tc>
        <w:tc>
          <w:tcPr>
            <w:tcW w:type="dxa" w:w="1661"/>
          </w:tcPr>
          <w:p>
            <w:pPr>
              <w:pStyle w:val="null3"/>
            </w:pPr>
            <w:r>
              <w:rPr>
                <w:rFonts w:ascii="仿宋_GB2312" w:hAnsi="仿宋_GB2312" w:cs="仿宋_GB2312" w:eastAsia="仿宋_GB2312"/>
              </w:rPr>
              <w:t>响应文件封面 技术方案.docx 已标价工程量清单 中小企业声明函 残疾人福利性单位声明函 资格证明材料相关附件.docx 报价函 技术服务合同条款及其他商务要求应答表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供应商磋商报价未超出最高限价</w:t>
            </w:r>
          </w:p>
        </w:tc>
        <w:tc>
          <w:tcPr>
            <w:tcW w:type="dxa" w:w="1661"/>
          </w:tcPr>
          <w:p>
            <w:pPr>
              <w:pStyle w:val="null3"/>
            </w:pPr>
            <w:r>
              <w:rPr>
                <w:rFonts w:ascii="仿宋_GB2312" w:hAnsi="仿宋_GB2312" w:cs="仿宋_GB2312" w:eastAsia="仿宋_GB2312"/>
              </w:rPr>
              <w:t>已标价工程量清单 报价函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工期满足或优于采购要求</w:t>
            </w:r>
          </w:p>
        </w:tc>
        <w:tc>
          <w:tcPr>
            <w:tcW w:type="dxa" w:w="1661"/>
          </w:tcPr>
          <w:p>
            <w:pPr>
              <w:pStyle w:val="null3"/>
            </w:pPr>
            <w:r>
              <w:rPr>
                <w:rFonts w:ascii="仿宋_GB2312" w:hAnsi="仿宋_GB2312" w:cs="仿宋_GB2312" w:eastAsia="仿宋_GB2312"/>
              </w:rPr>
              <w:t>报价函 技术服务合同条款及其他商务要求应答表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响应文件中对合同草案条款未附加采购人难以接受的条件</w:t>
            </w:r>
          </w:p>
        </w:tc>
        <w:tc>
          <w:tcPr>
            <w:tcW w:type="dxa" w:w="1661"/>
          </w:tcPr>
          <w:p>
            <w:pPr>
              <w:pStyle w:val="null3"/>
            </w:pPr>
            <w:r>
              <w:rPr>
                <w:rFonts w:ascii="仿宋_GB2312" w:hAnsi="仿宋_GB2312" w:cs="仿宋_GB2312" w:eastAsia="仿宋_GB2312"/>
              </w:rPr>
              <w:t>响应文件封面 技术服务合同条款及其他商务要求应答表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质量标准满足磋商文件要求</w:t>
            </w:r>
          </w:p>
        </w:tc>
        <w:tc>
          <w:tcPr>
            <w:tcW w:type="dxa" w:w="1661"/>
          </w:tcPr>
          <w:p>
            <w:pPr>
              <w:pStyle w:val="null3"/>
            </w:pPr>
            <w:r>
              <w:rPr>
                <w:rFonts w:ascii="仿宋_GB2312" w:hAnsi="仿宋_GB2312" w:cs="仿宋_GB2312" w:eastAsia="仿宋_GB2312"/>
              </w:rPr>
              <w:t>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磋商小组应当根据综合评分情况，按照评审得分由高到低顺序推荐3名成交候选供应商，并编写评审报告。评审得分相同的，按照最后报价由低到高的顺序推荐。评审得分且最后报价相同的，按照技术部分得分从高到低顺序推荐，若该项得分还相同，由磋商小组无记名投票确定排名顺序。</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一、评审内容：供应商针对本项目制定施工部署，包含①施工总平面布置；②安全目标、工期目标、质量目标；③主要施工机械设备；④劳动力等配备计划及主材进场计划等。 二、评审标准：提供详细、合理、科学可行的方案，方案符合本项目采购需求有针对性，以上4项，以序号①、②、③、④为项数，内容无缺项、无漏项且无缺陷的得16分，其中每有一项内容存在缺项或漏项的扣4分，每项内容中每有一处存在缺陷的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一、评审内容：供应商针对本项目制定施工方案，包含①施工准备；②主要施工方法；③施工进度计划；④技术措施；⑤重点难点工程分析及解决措施等。 二、评审标准：提供详细、合理、科学可行的方案，方案符合本项目采购需求有针对性，以上5项，以序号①、②、③、④、⑤为项数，内容无缺项、无漏项且无缺陷的得15分，其中每有一项内容存在缺项或漏项的扣3分，每项内容中每有一处存在缺陷的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工程质量的技术组织措施</w:t>
            </w:r>
          </w:p>
        </w:tc>
        <w:tc>
          <w:tcPr>
            <w:tcW w:type="dxa" w:w="2492"/>
          </w:tcPr>
          <w:p>
            <w:pPr>
              <w:pStyle w:val="null3"/>
            </w:pPr>
            <w:r>
              <w:rPr>
                <w:rFonts w:ascii="仿宋_GB2312" w:hAnsi="仿宋_GB2312" w:cs="仿宋_GB2312" w:eastAsia="仿宋_GB2312"/>
              </w:rPr>
              <w:t>一、评审内容：针对本项目特点制定工程质量的技术组织措施，包含：①质量管理体系；②工程质量保障方案；③工程质量控制等。 二、评审标准：提供详细、合理、科学可行的方案，方案符合本项目采购需求有针对性，以上3项，以序号①、②、③为项数，内容无缺项、无漏项且无缺陷的得12分，其中每有一项内容存在缺项或漏项的扣4分，每项内容中每有一处存在缺陷的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安全生产技术组织措施</w:t>
            </w:r>
          </w:p>
        </w:tc>
        <w:tc>
          <w:tcPr>
            <w:tcW w:type="dxa" w:w="2492"/>
          </w:tcPr>
          <w:p>
            <w:pPr>
              <w:pStyle w:val="null3"/>
            </w:pPr>
            <w:r>
              <w:rPr>
                <w:rFonts w:ascii="仿宋_GB2312" w:hAnsi="仿宋_GB2312" w:cs="仿宋_GB2312" w:eastAsia="仿宋_GB2312"/>
              </w:rPr>
              <w:t>一、评审内容：针对本项目特点制定安全生产技术组织措施，包含：①安全生产管理体系；②安全生产保证措施；③对常见施工风险如火灾等制定应急预案。 二、评审标准：提供详细、合理、科学可行的方案，方案符合 本项目采购需求有针对性，以上3项，以序号①、②、③为项数，内容无缺项、无漏项且无缺陷的得9分，其中每有一项内容存在缺项或漏项的扣3分，每项内容中每有一处存在缺陷的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一、评审内容：供应商提供针对本项目团队人员配备方案，包括但不限于：①项目管理组织架构；②岗位安排及职责（配备施工员、安全员、资料员、材料员、质量员）；③人员证件；④管理制度等。 二、评审标准：提供详细、合理、科学可行的方案，方案符合本项目采购需求有针对性，以上4项，以序号①、②、③、④、为项数，内容无缺项、无漏项且无缺陷的得12分，其中每有一项内容存在缺项或漏项的扣3分，每项内容中每有一处存在缺陷的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供应商提供自2022年8月1日至今类似业绩的证明材料（合同或中标/成交通知书复印件加盖公章，以合同签订时间或中标/成交通知书发出为准）每提供一项得2分，最高得6分，不提供不得分。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 不高于最高限价，且经磋商小组评审不低于成本价的最终磋商报价为有效磋商报价。 (2) 满足竞争性磋商文件要求且磋商价格最低的最终磋商报价为磋商基准价，得满分30分； (3) 磋商报价得分=(磋商基准价／最终磋商报价)×30%×100。 备注：当磋商小组认为某个供应商的报价明显低于其他通过符合性审查供应商的报价，有可能影响工程质量和不能诚信履约的，可以要求该供应商提供书面说明，必要时提交相关证明材料；供应商不能证明其报价合理的，磋商小组可以将其作为无效磋商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详见附件：资格证明材料相关附件.docx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