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513A7">
      <w:pPr>
        <w:keepNext w:val="0"/>
        <w:keepLines w:val="0"/>
        <w:widowControl/>
        <w:suppressLineNumbers w:val="0"/>
        <w:jc w:val="center"/>
        <w:rPr>
          <w:rFonts w:hint="eastAsia" w:ascii="仿宋" w:hAnsi="仿宋" w:eastAsia="仿宋" w:cs="仿宋"/>
          <w:b/>
          <w:bCs/>
          <w:color w:val="000000"/>
          <w:kern w:val="0"/>
          <w:sz w:val="36"/>
          <w:szCs w:val="36"/>
          <w:lang w:val="en-US" w:eastAsia="zh-CN" w:bidi="ar"/>
        </w:rPr>
      </w:pPr>
    </w:p>
    <w:p w14:paraId="6B5ED31D">
      <w:pPr>
        <w:keepNext w:val="0"/>
        <w:keepLines w:val="0"/>
        <w:widowControl/>
        <w:suppressLineNumbers w:val="0"/>
        <w:jc w:val="center"/>
        <w:rPr>
          <w:rFonts w:hint="eastAsia" w:ascii="仿宋" w:hAnsi="仿宋" w:eastAsia="仿宋" w:cs="仿宋"/>
          <w:b/>
          <w:bCs/>
          <w:color w:val="000000"/>
          <w:kern w:val="0"/>
          <w:sz w:val="84"/>
          <w:szCs w:val="84"/>
          <w:lang w:val="en-US" w:eastAsia="zh-CN" w:bidi="ar"/>
        </w:rPr>
      </w:pPr>
      <w:r>
        <w:rPr>
          <w:rFonts w:hint="eastAsia" w:ascii="仿宋" w:hAnsi="仿宋" w:eastAsia="仿宋" w:cs="仿宋"/>
          <w:b/>
          <w:bCs/>
          <w:color w:val="000000"/>
          <w:kern w:val="0"/>
          <w:sz w:val="84"/>
          <w:szCs w:val="84"/>
          <w:lang w:val="en-US" w:eastAsia="zh-CN" w:bidi="ar"/>
        </w:rPr>
        <w:t>高新区区域性地震安全性评价项目</w:t>
      </w:r>
    </w:p>
    <w:p w14:paraId="222FDEA8">
      <w:pPr>
        <w:keepNext w:val="0"/>
        <w:keepLines w:val="0"/>
        <w:widowControl/>
        <w:suppressLineNumbers w:val="0"/>
        <w:jc w:val="left"/>
        <w:rPr>
          <w:rFonts w:hint="eastAsia" w:ascii="仿宋" w:hAnsi="仿宋" w:eastAsia="仿宋" w:cs="仿宋"/>
          <w:b/>
          <w:bCs/>
          <w:color w:val="000000"/>
          <w:kern w:val="0"/>
          <w:sz w:val="84"/>
          <w:szCs w:val="84"/>
          <w:lang w:val="en-US" w:eastAsia="zh-CN" w:bidi="ar"/>
        </w:rPr>
      </w:pPr>
    </w:p>
    <w:p w14:paraId="29733F3E">
      <w:pPr>
        <w:keepNext w:val="0"/>
        <w:keepLines w:val="0"/>
        <w:widowControl/>
        <w:suppressLineNumbers w:val="0"/>
        <w:jc w:val="center"/>
        <w:rPr>
          <w:sz w:val="52"/>
          <w:szCs w:val="52"/>
        </w:rPr>
      </w:pPr>
      <w:r>
        <w:rPr>
          <w:rFonts w:hint="eastAsia" w:ascii="仿宋" w:hAnsi="仿宋" w:eastAsia="仿宋" w:cs="仿宋"/>
          <w:b/>
          <w:bCs/>
          <w:color w:val="000000"/>
          <w:kern w:val="0"/>
          <w:sz w:val="52"/>
          <w:szCs w:val="52"/>
          <w:lang w:val="en-US" w:eastAsia="zh-CN" w:bidi="ar"/>
        </w:rPr>
        <w:t>合 同 文 件</w:t>
      </w:r>
    </w:p>
    <w:p w14:paraId="70C12DA5">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7371D7FF">
      <w:pPr>
        <w:keepNext w:val="0"/>
        <w:keepLines w:val="0"/>
        <w:widowControl/>
        <w:suppressLineNumbers w:val="0"/>
        <w:ind w:firstLine="3112" w:firstLineChars="1000"/>
        <w:jc w:val="left"/>
      </w:pPr>
      <w:r>
        <w:rPr>
          <w:rFonts w:hint="eastAsia" w:ascii="仿宋" w:hAnsi="仿宋" w:eastAsia="仿宋" w:cs="仿宋"/>
          <w:b/>
          <w:bCs/>
          <w:color w:val="000000"/>
          <w:kern w:val="0"/>
          <w:sz w:val="31"/>
          <w:szCs w:val="31"/>
          <w:lang w:val="en-US" w:eastAsia="zh-CN" w:bidi="ar"/>
        </w:rPr>
        <w:t xml:space="preserve">合同编号： </w:t>
      </w:r>
    </w:p>
    <w:p w14:paraId="58FBDB0E">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（参考格式，以双方最终签订合同为准）</w:t>
      </w:r>
    </w:p>
    <w:p w14:paraId="1C08C1F0">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44949E92">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3E5F50D4">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7998B71F">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31B8995C">
      <w:pPr>
        <w:keepNext w:val="0"/>
        <w:keepLines w:val="0"/>
        <w:widowControl/>
        <w:suppressLineNumbers w:val="0"/>
        <w:jc w:val="left"/>
        <w:rPr>
          <w:rFonts w:hint="eastAsia" w:ascii="仿宋" w:hAnsi="仿宋" w:eastAsia="仿宋" w:cs="仿宋"/>
          <w:b/>
          <w:bCs/>
          <w:color w:val="000000"/>
          <w:kern w:val="0"/>
          <w:sz w:val="28"/>
          <w:szCs w:val="28"/>
          <w:lang w:val="en-US" w:eastAsia="zh-CN" w:bidi="ar"/>
        </w:rPr>
      </w:pPr>
    </w:p>
    <w:p w14:paraId="049E0A0F">
      <w:pPr>
        <w:keepNext w:val="0"/>
        <w:keepLines w:val="0"/>
        <w:widowControl/>
        <w:suppressLineNumbers w:val="0"/>
        <w:ind w:firstLine="1405" w:firstLineChars="500"/>
        <w:jc w:val="left"/>
      </w:pPr>
      <w:r>
        <w:rPr>
          <w:rFonts w:hint="eastAsia" w:ascii="仿宋" w:hAnsi="仿宋" w:eastAsia="仿宋" w:cs="仿宋"/>
          <w:b/>
          <w:bCs/>
          <w:color w:val="000000"/>
          <w:kern w:val="0"/>
          <w:sz w:val="28"/>
          <w:szCs w:val="28"/>
          <w:lang w:val="en-US" w:eastAsia="zh-CN" w:bidi="ar"/>
        </w:rPr>
        <w:t xml:space="preserve">采购人(甲方) : </w:t>
      </w:r>
    </w:p>
    <w:p w14:paraId="3E755431">
      <w:pPr>
        <w:keepNext w:val="0"/>
        <w:keepLines w:val="0"/>
        <w:widowControl/>
        <w:suppressLineNumbers w:val="0"/>
        <w:ind w:firstLine="562" w:firstLineChars="200"/>
        <w:jc w:val="left"/>
        <w:rPr>
          <w:rFonts w:hint="eastAsia" w:ascii="仿宋" w:hAnsi="仿宋" w:eastAsia="仿宋" w:cs="仿宋"/>
          <w:b/>
          <w:bCs/>
          <w:color w:val="000000"/>
          <w:kern w:val="0"/>
          <w:sz w:val="28"/>
          <w:szCs w:val="28"/>
          <w:lang w:val="en-US" w:eastAsia="zh-CN" w:bidi="ar"/>
        </w:rPr>
      </w:pPr>
    </w:p>
    <w:p w14:paraId="35B0255B">
      <w:pPr>
        <w:keepNext w:val="0"/>
        <w:keepLines w:val="0"/>
        <w:widowControl/>
        <w:suppressLineNumbers w:val="0"/>
        <w:ind w:firstLine="1405" w:firstLineChars="500"/>
        <w:jc w:val="left"/>
      </w:pPr>
      <w:r>
        <w:rPr>
          <w:rFonts w:hint="eastAsia" w:ascii="仿宋" w:hAnsi="仿宋" w:eastAsia="仿宋" w:cs="仿宋"/>
          <w:b/>
          <w:bCs/>
          <w:color w:val="000000"/>
          <w:kern w:val="0"/>
          <w:sz w:val="28"/>
          <w:szCs w:val="28"/>
          <w:lang w:val="en-US" w:eastAsia="zh-CN" w:bidi="ar"/>
        </w:rPr>
        <w:t xml:space="preserve">供应商(乙方) : </w:t>
      </w:r>
    </w:p>
    <w:p w14:paraId="36B2E032">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32ECC311">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二〇二六年   月  日</w:t>
      </w:r>
    </w:p>
    <w:p w14:paraId="36BD201F">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6264A981">
      <w:pP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br w:type="page"/>
      </w:r>
    </w:p>
    <w:p w14:paraId="30CE6D12">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bookmarkStart w:id="0" w:name="_GoBack"/>
      <w:bookmarkEnd w:id="0"/>
      <w:r>
        <w:rPr>
          <w:rFonts w:hint="eastAsia" w:ascii="仿宋" w:hAnsi="仿宋" w:eastAsia="仿宋" w:cs="仿宋"/>
          <w:color w:val="000000"/>
          <w:kern w:val="0"/>
          <w:sz w:val="28"/>
          <w:szCs w:val="28"/>
          <w:lang w:val="en-US" w:eastAsia="zh-CN" w:bidi="ar"/>
        </w:rPr>
        <w:t xml:space="preserve">甲方(采购人)： </w:t>
      </w:r>
    </w:p>
    <w:p w14:paraId="56896FE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乙方(供应商)： </w:t>
      </w:r>
    </w:p>
    <w:p w14:paraId="6D6BCAE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第一条 本合同依据下列文件签订 </w:t>
      </w:r>
    </w:p>
    <w:p w14:paraId="5071BDD2">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1、《中华人民共和国民法典》。 </w:t>
      </w:r>
    </w:p>
    <w:p w14:paraId="34538DB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2、国家及地方有关地震安全性评价的法规。 </w:t>
      </w:r>
    </w:p>
    <w:p w14:paraId="5D861DF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第二条 服务内容 </w:t>
      </w:r>
    </w:p>
    <w:p w14:paraId="2D6F0192">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1、项目名称： </w:t>
      </w:r>
    </w:p>
    <w:p w14:paraId="601D430F">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2、质量要求： </w:t>
      </w:r>
    </w:p>
    <w:p w14:paraId="540607B0">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3、服务期限：</w:t>
      </w:r>
    </w:p>
    <w:p w14:paraId="173ADE0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4、成果交付地点：采购人指定地点。 </w:t>
      </w:r>
    </w:p>
    <w:p w14:paraId="1A586FE3">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5、服务内容：</w:t>
      </w:r>
    </w:p>
    <w:p w14:paraId="7AE03EFE">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第三条 交付的成果 </w:t>
      </w:r>
    </w:p>
    <w:p w14:paraId="4766BF3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rFonts w:hint="default" w:ascii="仿宋" w:hAnsi="仿宋" w:eastAsia="仿宋" w:cs="仿宋"/>
          <w:b/>
          <w:bCs/>
          <w:color w:val="000000"/>
          <w:kern w:val="0"/>
          <w:sz w:val="28"/>
          <w:szCs w:val="28"/>
          <w:u w:val="single"/>
          <w:lang w:val="en-US" w:eastAsia="zh-CN" w:bidi="ar"/>
        </w:rPr>
      </w:pPr>
      <w:r>
        <w:rPr>
          <w:rFonts w:hint="eastAsia" w:ascii="仿宋" w:hAnsi="仿宋" w:eastAsia="仿宋" w:cs="仿宋"/>
          <w:b/>
          <w:bCs/>
          <w:color w:val="000000"/>
          <w:kern w:val="0"/>
          <w:sz w:val="28"/>
          <w:szCs w:val="28"/>
          <w:u w:val="single"/>
          <w:lang w:val="en-US" w:eastAsia="zh-CN" w:bidi="ar"/>
        </w:rPr>
        <w:t xml:space="preserve">                     </w:t>
      </w:r>
    </w:p>
    <w:p w14:paraId="4C1A7D6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第四条 合同总价及结算方式 </w:t>
      </w:r>
    </w:p>
    <w:p w14:paraId="6388157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1.合同总金额（含税）：大写（人民币）： 元；小写：</w:t>
      </w:r>
      <w:r>
        <w:rPr>
          <w:rFonts w:ascii="Arial" w:hAnsi="Arial" w:eastAsia="宋体" w:cs="Arial"/>
          <w:color w:val="000000"/>
          <w:kern w:val="0"/>
          <w:sz w:val="28"/>
          <w:szCs w:val="28"/>
          <w:lang w:val="en-US" w:eastAsia="zh-CN" w:bidi="ar"/>
        </w:rPr>
        <w:t xml:space="preserve">¥ </w:t>
      </w:r>
      <w:r>
        <w:rPr>
          <w:rFonts w:hint="eastAsia" w:ascii="Arial" w:hAnsi="Arial" w:eastAsia="宋体" w:cs="Arial"/>
          <w:color w:val="000000"/>
          <w:kern w:val="0"/>
          <w:sz w:val="28"/>
          <w:szCs w:val="28"/>
          <w:lang w:val="en-US" w:eastAsia="zh-CN" w:bidi="ar"/>
        </w:rPr>
        <w:t xml:space="preserve">           </w:t>
      </w:r>
      <w:r>
        <w:rPr>
          <w:rFonts w:hint="eastAsia" w:ascii="仿宋" w:hAnsi="仿宋" w:eastAsia="仿宋" w:cs="仿宋"/>
          <w:color w:val="000000"/>
          <w:kern w:val="0"/>
          <w:sz w:val="28"/>
          <w:szCs w:val="28"/>
          <w:lang w:val="en-US" w:eastAsia="zh-CN" w:bidi="ar"/>
        </w:rPr>
        <w:t xml:space="preserve">元） </w:t>
      </w:r>
    </w:p>
    <w:p w14:paraId="7315586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sz w:val="28"/>
          <w:szCs w:val="28"/>
          <w:lang w:val="en-US"/>
        </w:rPr>
      </w:pPr>
      <w:r>
        <w:rPr>
          <w:rFonts w:hint="eastAsia" w:ascii="仿宋" w:hAnsi="仿宋" w:eastAsia="仿宋" w:cs="仿宋"/>
          <w:color w:val="000000"/>
          <w:kern w:val="0"/>
          <w:sz w:val="28"/>
          <w:szCs w:val="28"/>
          <w:lang w:val="en-US" w:eastAsia="zh-CN" w:bidi="ar"/>
        </w:rPr>
        <w:t xml:space="preserve">合同总金额包括人工费、设备投入费、技术服务费、验收费、税金等所需的全部费用。 </w:t>
      </w:r>
    </w:p>
    <w:p w14:paraId="496ADCF0">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在工作中出现任何遗漏，均由供应商免费提供，采购人将不再支付任何费用。 </w:t>
      </w:r>
    </w:p>
    <w:p w14:paraId="4337446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2、付款方式： </w:t>
      </w:r>
    </w:p>
    <w:p w14:paraId="64056A4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2.1、合同签订后，甲方向乙方支付合同总价款的 40%作为预付款； </w:t>
      </w:r>
    </w:p>
    <w:p w14:paraId="6A6343FD">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2.2、后续款项按照乙方实际完成的工作量比例（面积）据实结算，在乙方向甲方移交符合甲方要求的工作成果后，由甲方在扣除预付款后向乙方支付。 </w:t>
      </w:r>
    </w:p>
    <w:p w14:paraId="52B1B60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3、结算方式：银行转账。 </w:t>
      </w:r>
    </w:p>
    <w:p w14:paraId="7D09685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4、结算单位：由甲方负责结算，乙方开具合同总价数的全额发票交采购人。 </w:t>
      </w:r>
    </w:p>
    <w:p w14:paraId="0F68899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第五条 验收依据 </w:t>
      </w:r>
    </w:p>
    <w:p w14:paraId="268B228A">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1、合同文本。 </w:t>
      </w:r>
    </w:p>
    <w:p w14:paraId="34AC6AA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2、国内相应的标准、规范。 </w:t>
      </w:r>
    </w:p>
    <w:p w14:paraId="7F7B2D7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第六条 甲方的权利和义务 </w:t>
      </w:r>
    </w:p>
    <w:p w14:paraId="6CB192E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14:paraId="76AF186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2、负责检查监督乙方管理工作的实施及制度的执行情况。 </w:t>
      </w:r>
    </w:p>
    <w:p w14:paraId="67F9931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3、根据本合同规定，按时向乙方支付应付服务费用。 </w:t>
      </w:r>
    </w:p>
    <w:p w14:paraId="4A8E3A6F">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第七条 乙方的权利和义务 </w:t>
      </w:r>
    </w:p>
    <w:p w14:paraId="1F4E4A0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1、乙方所指派的项目负责人，在合同履行中未经甲方同意不得擅自更换他人。 </w:t>
      </w:r>
    </w:p>
    <w:p w14:paraId="496FFDD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乙方项目负责人：</w:t>
      </w:r>
      <w:r>
        <w:rPr>
          <w:rFonts w:hint="eastAsia" w:ascii="仿宋" w:hAnsi="仿宋" w:eastAsia="仿宋" w:cs="仿宋"/>
          <w:color w:val="000000"/>
          <w:kern w:val="0"/>
          <w:sz w:val="28"/>
          <w:szCs w:val="28"/>
          <w:u w:val="single"/>
          <w:lang w:val="en-US" w:eastAsia="zh-CN" w:bidi="ar"/>
        </w:rPr>
        <w:t xml:space="preserve">        </w:t>
      </w:r>
      <w:r>
        <w:rPr>
          <w:rFonts w:hint="eastAsia" w:ascii="仿宋" w:hAnsi="仿宋" w:eastAsia="仿宋" w:cs="仿宋"/>
          <w:color w:val="000000"/>
          <w:kern w:val="0"/>
          <w:sz w:val="28"/>
          <w:szCs w:val="28"/>
          <w:lang w:val="en-US" w:eastAsia="zh-CN" w:bidi="ar"/>
        </w:rPr>
        <w:t>，联系电话：</w:t>
      </w:r>
      <w:r>
        <w:rPr>
          <w:rFonts w:hint="eastAsia" w:ascii="仿宋" w:hAnsi="仿宋" w:eastAsia="仿宋" w:cs="仿宋"/>
          <w:color w:val="000000"/>
          <w:kern w:val="0"/>
          <w:sz w:val="28"/>
          <w:szCs w:val="28"/>
          <w:u w:val="single"/>
          <w:lang w:val="en-US" w:eastAsia="zh-CN" w:bidi="ar"/>
        </w:rPr>
        <w:t xml:space="preserve">                </w:t>
      </w:r>
      <w:r>
        <w:rPr>
          <w:rFonts w:hint="eastAsia" w:ascii="仿宋" w:hAnsi="仿宋" w:eastAsia="仿宋" w:cs="仿宋"/>
          <w:color w:val="000000"/>
          <w:kern w:val="0"/>
          <w:sz w:val="28"/>
          <w:szCs w:val="28"/>
          <w:lang w:val="en-US" w:eastAsia="zh-CN" w:bidi="ar"/>
        </w:rPr>
        <w:t xml:space="preserve">。 </w:t>
      </w:r>
    </w:p>
    <w:p w14:paraId="51F158C4">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2、乙方所交成果不符合国家法律法规和合同规定的，甲方有权拒收，并由乙方承担一切费用。 </w:t>
      </w:r>
    </w:p>
    <w:p w14:paraId="1970F30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3、乙方应承担现场勘界的责任和风险以及期间发生的一切费用，乙方若因现场勘界而发生的人身伤亡、财产或其他损失，不论何种原因所造成，甲方均不承担责任。 </w:t>
      </w:r>
    </w:p>
    <w:p w14:paraId="399A0433">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4、乙方需保证本成果或其授予的权利不会侵犯任何第三人的知识产权或其他权利，也没有其他针对乙方拥有本成果权利的未决诉讼，或甲方行使乙方所提供的成果权利会侵犯任何第三人的合法权利。 </w:t>
      </w:r>
    </w:p>
    <w:p w14:paraId="6DAF53A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第八条违约责任 </w:t>
      </w:r>
    </w:p>
    <w:p w14:paraId="30C67BA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1、甲乙双方必须遵守本合同并执行合同中的各项规定，保证本合同的正常履行。 </w:t>
      </w:r>
    </w:p>
    <w:p w14:paraId="7B1682F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如因乙方工作人员在履行职务过程中的疏忽、失职、过错等故意或者过失因给甲方造成损失或侵害，包括但不限于甲方本身的财产损失、由此而导致的甲方对任何第三方的法律责任等，乙方对此均应承担全部的赔偿责任。 </w:t>
      </w:r>
    </w:p>
    <w:p w14:paraId="43B11DD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第九条不可抗力事件处理 </w:t>
      </w:r>
    </w:p>
    <w:p w14:paraId="54A53B2F">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1、在合同有效期内，任何一方因不可抗力事件导致不能履行合同，则合同履行期可延长，其延长期与不可抗力影响期相同。 </w:t>
      </w:r>
    </w:p>
    <w:p w14:paraId="5AE91DE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2、不可抗力事件发生后，应立即通知对方，并寄送有关权威机构出具的证明。 </w:t>
      </w:r>
    </w:p>
    <w:p w14:paraId="27DFA40B">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3、不可抗力事件延续 30 天以上，双方应通过友好协商，确定是否继续履行合同。 </w:t>
      </w:r>
    </w:p>
    <w:p w14:paraId="19B874EE">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第十条合同的变更和终止 </w:t>
      </w:r>
    </w:p>
    <w:p w14:paraId="26E8F0AA">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除《中华人民共和国政府采购法》第 49 条、第 50 条第二款规定的情形外，本合同一经签订，甲乙双方不得擅自变更、中止或终止合同。 </w:t>
      </w:r>
    </w:p>
    <w:p w14:paraId="309D4EC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第十一条解决合同纠纷的方式 </w:t>
      </w:r>
    </w:p>
    <w:p w14:paraId="492FA46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1、在执行本合同中发生的或与本合同有关的争端，双方应通过友好协商解决，经协商在 XX 天内不能达成协议时，则采取以下第____种方式解决争议： </w:t>
      </w:r>
    </w:p>
    <w:p w14:paraId="4186731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（1）向甲方所在地有管辖权的人民法院提起诉讼； </w:t>
      </w:r>
    </w:p>
    <w:p w14:paraId="470BF75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（2）向____________仲裁委员会按其仲裁规则申请仲裁。 </w:t>
      </w:r>
    </w:p>
    <w:p w14:paraId="7222BE1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2、在仲裁期间，本合同应继续履行。 </w:t>
      </w:r>
    </w:p>
    <w:p w14:paraId="0E03174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2" w:firstLineChars="200"/>
        <w:jc w:val="left"/>
        <w:textAlignment w:val="auto"/>
        <w:rPr>
          <w:sz w:val="28"/>
          <w:szCs w:val="28"/>
        </w:rPr>
      </w:pPr>
      <w:r>
        <w:rPr>
          <w:rFonts w:hint="eastAsia" w:ascii="仿宋" w:hAnsi="仿宋" w:eastAsia="仿宋" w:cs="仿宋"/>
          <w:b/>
          <w:bCs/>
          <w:color w:val="000000"/>
          <w:kern w:val="0"/>
          <w:sz w:val="28"/>
          <w:szCs w:val="28"/>
          <w:lang w:val="en-US" w:eastAsia="zh-CN" w:bidi="ar"/>
        </w:rPr>
        <w:t xml:space="preserve">第十二条合同生效 </w:t>
      </w:r>
    </w:p>
    <w:p w14:paraId="5EDBAAEE">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1、合同经双方法定代表人或授权委托代理人签字并加盖单位公章后生效。 </w:t>
      </w:r>
    </w:p>
    <w:p w14:paraId="157AE185">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2、合同执行中涉及采购资金和采购内容修改或补充的，须经政府采购监管部门审批，并签书面补充协议报政府采购监督管理部门备案，方可作为主合同不可分割的一部分。 </w:t>
      </w:r>
    </w:p>
    <w:p w14:paraId="09703FC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3、本合同未尽事宜，双方可签订补充协议及会议纪要作为附件，均为合同的组成部分，与本合同具有同等效力。 </w:t>
      </w:r>
    </w:p>
    <w:p w14:paraId="1A22BC3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4、本合同自签订之日起生效。 </w:t>
      </w:r>
    </w:p>
    <w:p w14:paraId="3167C788">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5、双方履行完合同规定的义务后，本合同即行终止。 </w:t>
      </w:r>
    </w:p>
    <w:p w14:paraId="660D6A77">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6、合同一式陆份，甲乙双方各执叁份。</w:t>
      </w:r>
    </w:p>
    <w:p w14:paraId="717312B0">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p>
    <w:p w14:paraId="07466511">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甲方名称（盖章）:            乙方名称（盖章）: </w:t>
      </w:r>
    </w:p>
    <w:p w14:paraId="0986A4A3">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p>
    <w:p w14:paraId="0E34C23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 </w:t>
      </w:r>
    </w:p>
    <w:p w14:paraId="1F39BB84">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代表人（签字）：             代表人（签字）：</w:t>
      </w:r>
    </w:p>
    <w:p w14:paraId="5A4EFB79">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 </w:t>
      </w:r>
    </w:p>
    <w:p w14:paraId="71E9E94C">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r>
        <w:rPr>
          <w:rFonts w:hint="eastAsia" w:ascii="仿宋" w:hAnsi="仿宋" w:eastAsia="仿宋" w:cs="仿宋"/>
          <w:color w:val="000000"/>
          <w:kern w:val="0"/>
          <w:sz w:val="28"/>
          <w:szCs w:val="28"/>
          <w:lang w:val="en-US" w:eastAsia="zh-CN" w:bidi="ar"/>
        </w:rPr>
        <w:t xml:space="preserve">电话：                       电话： </w:t>
      </w:r>
    </w:p>
    <w:p w14:paraId="4DF6428C">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sz w:val="28"/>
          <w:szCs w:val="28"/>
        </w:rPr>
      </w:pPr>
    </w:p>
    <w:p w14:paraId="2C797C2A">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ascii="Times New Roman" w:hAnsi="Times New Roman" w:eastAsia="仿宋_GB2312" w:cs="Times New Roman"/>
          <w:sz w:val="28"/>
          <w:szCs w:val="30"/>
        </w:rPr>
      </w:pPr>
      <w:r>
        <w:rPr>
          <w:rFonts w:hint="eastAsia" w:ascii="仿宋" w:hAnsi="仿宋" w:eastAsia="仿宋" w:cs="仿宋"/>
          <w:color w:val="000000"/>
          <w:kern w:val="0"/>
          <w:sz w:val="28"/>
          <w:szCs w:val="28"/>
          <w:lang w:val="en-US" w:eastAsia="zh-CN" w:bidi="ar"/>
        </w:rPr>
        <w:t xml:space="preserve">签订日期：                   签订日期： </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8DB5A">
    <w:pPr>
      <w:pStyle w:val="6"/>
      <w:jc w:val="center"/>
      <w:rPr>
        <w:rFonts w:hint="default" w:ascii="Times New Roman" w:hAnsi="Times New Roman" w:cs="Times New Roman"/>
        <w:sz w:val="20"/>
        <w:szCs w:val="20"/>
      </w:rPr>
    </w:pP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PAGE   \* MERGEFORMAT</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lang w:val="zh-CN"/>
      </w:rPr>
      <w:t>4</w:t>
    </w:r>
    <w:r>
      <w:rPr>
        <w:rFonts w:hint="default"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NWU3MDRmZGY1MzBmMTkwOGZhMTVlYTMwM2NlNzkifQ=="/>
  </w:docVars>
  <w:rsids>
    <w:rsidRoot w:val="00000000"/>
    <w:rsid w:val="02A91D19"/>
    <w:rsid w:val="07AF0C8A"/>
    <w:rsid w:val="103A42BC"/>
    <w:rsid w:val="10761F32"/>
    <w:rsid w:val="125C2CCE"/>
    <w:rsid w:val="272C52DB"/>
    <w:rsid w:val="35DC11B5"/>
    <w:rsid w:val="3A5C423B"/>
    <w:rsid w:val="3F7F7AFF"/>
    <w:rsid w:val="52EA4B69"/>
    <w:rsid w:val="5A900D3E"/>
    <w:rsid w:val="61704F4C"/>
    <w:rsid w:val="6568595C"/>
    <w:rsid w:val="6759583F"/>
    <w:rsid w:val="6F241291"/>
    <w:rsid w:val="700969BC"/>
    <w:rsid w:val="71F5184F"/>
    <w:rsid w:val="72DE57CA"/>
    <w:rsid w:val="737547B1"/>
    <w:rsid w:val="7CBC4F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99"/>
    <w:pPr>
      <w:widowControl w:val="0"/>
      <w:adjustRightInd/>
      <w:snapToGrid/>
      <w:spacing w:after="0"/>
      <w:ind w:firstLine="420"/>
      <w:jc w:val="both"/>
    </w:pPr>
    <w:rPr>
      <w:rFonts w:ascii="Times New Roman" w:hAnsi="Times New Roman" w:eastAsia="宋体" w:cs="Times New Roman"/>
      <w:kern w:val="2"/>
      <w:sz w:val="21"/>
      <w:szCs w:val="20"/>
    </w:rPr>
  </w:style>
  <w:style w:type="paragraph" w:styleId="4">
    <w:name w:val="annotation text"/>
    <w:basedOn w:val="1"/>
    <w:link w:val="17"/>
    <w:unhideWhenUsed/>
    <w:qFormat/>
    <w:uiPriority w:val="99"/>
  </w:style>
  <w:style w:type="paragraph" w:styleId="5">
    <w:name w:val="Balloon Text"/>
    <w:basedOn w:val="1"/>
    <w:link w:val="19"/>
    <w:unhideWhenUsed/>
    <w:qFormat/>
    <w:uiPriority w:val="99"/>
    <w:pPr>
      <w:spacing w:after="0"/>
    </w:pPr>
    <w:rPr>
      <w:sz w:val="18"/>
      <w:szCs w:val="18"/>
    </w:rPr>
  </w:style>
  <w:style w:type="paragraph" w:styleId="6">
    <w:name w:val="footer"/>
    <w:basedOn w:val="1"/>
    <w:link w:val="16"/>
    <w:unhideWhenUsed/>
    <w:qFormat/>
    <w:uiPriority w:val="99"/>
    <w:pPr>
      <w:tabs>
        <w:tab w:val="center" w:pos="4153"/>
        <w:tab w:val="right" w:pos="8306"/>
      </w:tabs>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8">
    <w:name w:val="annotation subject"/>
    <w:basedOn w:val="4"/>
    <w:next w:val="4"/>
    <w:link w:val="18"/>
    <w:unhideWhenUsed/>
    <w:qFormat/>
    <w:uiPriority w:val="99"/>
    <w:rPr>
      <w:b/>
      <w:bCs/>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99"/>
    <w:rPr>
      <w:rFonts w:cs="Times New Roman"/>
    </w:rPr>
  </w:style>
  <w:style w:type="character" w:styleId="13">
    <w:name w:val="Hyperlink"/>
    <w:basedOn w:val="11"/>
    <w:unhideWhenUsed/>
    <w:qFormat/>
    <w:uiPriority w:val="99"/>
    <w:rPr>
      <w:color w:val="0000FF"/>
      <w:u w:val="single"/>
    </w:rPr>
  </w:style>
  <w:style w:type="character" w:styleId="14">
    <w:name w:val="annotation reference"/>
    <w:basedOn w:val="11"/>
    <w:autoRedefine/>
    <w:unhideWhenUsed/>
    <w:qFormat/>
    <w:uiPriority w:val="99"/>
    <w:rPr>
      <w:sz w:val="21"/>
      <w:szCs w:val="21"/>
    </w:rPr>
  </w:style>
  <w:style w:type="character" w:customStyle="1" w:styleId="15">
    <w:name w:val="页眉 字符"/>
    <w:basedOn w:val="11"/>
    <w:link w:val="7"/>
    <w:autoRedefine/>
    <w:qFormat/>
    <w:uiPriority w:val="99"/>
    <w:rPr>
      <w:rFonts w:ascii="Tahoma" w:hAnsi="Tahoma"/>
      <w:sz w:val="18"/>
      <w:szCs w:val="18"/>
    </w:rPr>
  </w:style>
  <w:style w:type="character" w:customStyle="1" w:styleId="16">
    <w:name w:val="页脚 字符"/>
    <w:basedOn w:val="11"/>
    <w:link w:val="6"/>
    <w:autoRedefine/>
    <w:qFormat/>
    <w:uiPriority w:val="99"/>
    <w:rPr>
      <w:rFonts w:ascii="Tahoma" w:hAnsi="Tahoma"/>
      <w:sz w:val="18"/>
      <w:szCs w:val="18"/>
    </w:rPr>
  </w:style>
  <w:style w:type="character" w:customStyle="1" w:styleId="17">
    <w:name w:val="批注文字 字符"/>
    <w:basedOn w:val="11"/>
    <w:link w:val="4"/>
    <w:autoRedefine/>
    <w:semiHidden/>
    <w:qFormat/>
    <w:uiPriority w:val="99"/>
    <w:rPr>
      <w:rFonts w:ascii="Tahoma" w:hAnsi="Tahoma"/>
    </w:rPr>
  </w:style>
  <w:style w:type="character" w:customStyle="1" w:styleId="18">
    <w:name w:val="批注主题 字符"/>
    <w:basedOn w:val="17"/>
    <w:link w:val="8"/>
    <w:semiHidden/>
    <w:qFormat/>
    <w:uiPriority w:val="99"/>
    <w:rPr>
      <w:rFonts w:ascii="Tahoma" w:hAnsi="Tahoma"/>
      <w:b/>
      <w:bCs/>
    </w:rPr>
  </w:style>
  <w:style w:type="character" w:customStyle="1" w:styleId="19">
    <w:name w:val="批注框文本 字符"/>
    <w:basedOn w:val="11"/>
    <w:link w:val="5"/>
    <w:semiHidden/>
    <w:qFormat/>
    <w:uiPriority w:val="99"/>
    <w:rPr>
      <w:rFonts w:ascii="Tahoma" w:hAnsi="Tahoma"/>
      <w:sz w:val="18"/>
      <w:szCs w:val="18"/>
    </w:rPr>
  </w:style>
  <w:style w:type="paragraph" w:customStyle="1" w:styleId="20">
    <w:name w:val="List Paragraph"/>
    <w:basedOn w:val="1"/>
    <w:autoRedefine/>
    <w:qFormat/>
    <w:uiPriority w:val="99"/>
    <w:pPr>
      <w:ind w:firstLine="420" w:firstLineChars="200"/>
    </w:pPr>
  </w:style>
  <w:style w:type="table" w:customStyle="1" w:styleId="21">
    <w:name w:val="网格型1"/>
    <w:basedOn w:val="9"/>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
    <w:name w:val="Body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1656</Words>
  <Characters>1681</Characters>
  <Lines>16</Lines>
  <Paragraphs>4</Paragraphs>
  <TotalTime>0</TotalTime>
  <ScaleCrop>false</ScaleCrop>
  <LinksUpToDate>false</LinksUpToDate>
  <CharactersWithSpaces>1892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2019-12-30T12:34:00Z</dcterms:created>
  <dc:creator>Administrator</dc:creator>
  <cp:lastModifiedBy>遇见</cp:lastModifiedBy>
  <cp:lastPrinted>2020-03-13T11:21:00Z</cp:lastPrinted>
  <dcterms:modified xsi:type="dcterms:W3CDTF">2026-01-09T01:46:30Z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D6C8710F17864C2082F1DBC653D74AB1_13</vt:lpwstr>
  </property>
  <property fmtid="{D5CDD505-2E9C-101B-9397-08002B2CF9AE}" pid="4" name="KSOTemplateDocerSaveRecord">
    <vt:lpwstr>eyJoZGlkIjoiZmNmNjRkODhlNDkzMjM5N2UxMWI2MTk5OTlmZjMxNDkiLCJ1c2VySWQiOiIyMzAyNDAxMTgifQ==</vt:lpwstr>
  </property>
</Properties>
</file>