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版本号：ZCSP-渭南高新区-2026-00005-ZK26(CG)0100220260126001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高新区隐患路段新增道路交通信号灯、电子警察系统工程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ZCSP-渭南高新区-2026-00005-ZK26(CG)01002</w:t>
      </w:r>
      <w:r>
        <w:br/>
      </w:r>
      <w:r>
        <w:br/>
      </w:r>
      <w:r>
        <w:br/>
      </w:r>
    </w:p>
    <w:p>
      <w:pPr>
        <w:pStyle w:val="null3"/>
        <w:jc w:val="center"/>
        <w:outlineLvl w:val="2"/>
      </w:pPr>
      <w:r>
        <w:rPr>
          <w:rFonts w:ascii="仿宋_GB2312" w:hAnsi="仿宋_GB2312" w:cs="仿宋_GB2312" w:eastAsia="仿宋_GB2312"/>
          <w:sz w:val="28"/>
          <w:b/>
        </w:rPr>
        <w:t>渭南高新区城乡建设和管理局</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渭南高新区城乡建设和管理局</w:t>
      </w:r>
      <w:r>
        <w:rPr>
          <w:rFonts w:ascii="仿宋_GB2312" w:hAnsi="仿宋_GB2312" w:cs="仿宋_GB2312" w:eastAsia="仿宋_GB2312"/>
        </w:rPr>
        <w:t>委托，拟对</w:t>
      </w:r>
      <w:r>
        <w:rPr>
          <w:rFonts w:ascii="仿宋_GB2312" w:hAnsi="仿宋_GB2312" w:cs="仿宋_GB2312" w:eastAsia="仿宋_GB2312"/>
        </w:rPr>
        <w:t>高新区隐患路段新增道路交通信号灯、电子警察系统工程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ZCSP-渭南高新区-2026-00005-ZK26(CG)01002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高新区隐患路段新增道路交通信号灯、电子警察系统工程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项目涉及乐天大街与穆家路丁字、乐天大街与公园南路丁字、纬四路与穆家路丁字、纬四路与高新东路十字四个路口的道路交通信号灯控制系统、电子警察与道路监控控制系统及土建工程。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采购包1（高新区隐患路段新增道路交通信号灯、电子警察系统工程）：属于专门面向中小企业采购。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1、供应商基本情况：供应商须具备独立承担民事责任能力的法人或其他组织，并出具合法有效的营业执照（含2024年或2025年年度报告）等相关证明；</w:t>
      </w:r>
    </w:p>
    <w:p>
      <w:pPr>
        <w:pStyle w:val="null3"/>
      </w:pPr>
      <w:r>
        <w:rPr>
          <w:rFonts w:ascii="仿宋_GB2312" w:hAnsi="仿宋_GB2312" w:cs="仿宋_GB2312" w:eastAsia="仿宋_GB2312"/>
        </w:rPr>
        <w:t>2、供应商资质：供应商须具有建设行政主管部门颁发的电子与智能化工程专业承包二级及以上资质，并具有有效的安全生产许可证；</w:t>
      </w:r>
    </w:p>
    <w:p>
      <w:pPr>
        <w:pStyle w:val="null3"/>
      </w:pPr>
      <w:r>
        <w:rPr>
          <w:rFonts w:ascii="仿宋_GB2312" w:hAnsi="仿宋_GB2312" w:cs="仿宋_GB2312" w:eastAsia="仿宋_GB2312"/>
        </w:rPr>
        <w:t>3、法定代表人身份证明或法定代表人授权委托书：法定代表人参加的，须提供法定代表人身份证复印件并出示身份证原件；法定代表人授权他人参加的，须提供法定代表人授权委托书原件及法定代表人身份证复印件，并出示被授权代表的身份证原件及复印件和被授权代表近三个月社保缴纳证明；</w:t>
      </w:r>
    </w:p>
    <w:p>
      <w:pPr>
        <w:pStyle w:val="null3"/>
      </w:pPr>
      <w:r>
        <w:rPr>
          <w:rFonts w:ascii="仿宋_GB2312" w:hAnsi="仿宋_GB2312" w:cs="仿宋_GB2312" w:eastAsia="仿宋_GB2312"/>
        </w:rPr>
        <w:t>4、拟派项目经理：供应商拟派项目经理须具备机电工程专业二级及以上注册建造师执业资格，并具有合法有效的安全生产考核合格证(建安B证)，且未担任其他在建项目的项目经理；</w:t>
      </w:r>
    </w:p>
    <w:p>
      <w:pPr>
        <w:pStyle w:val="null3"/>
      </w:pPr>
      <w:r>
        <w:rPr>
          <w:rFonts w:ascii="仿宋_GB2312" w:hAnsi="仿宋_GB2312" w:cs="仿宋_GB2312" w:eastAsia="仿宋_GB2312"/>
        </w:rPr>
        <w:t>5、财务状况证明：提供2024年度经会计师事务所或审计机构审计的财务会计报告，包括财务审计报告、资产负债表、现金流量表、利润表、所有者权益表和财务情况说明书或供应商基本开户银行出具开标日期前三个月内的资信证明及基本存款账户开户许可证（基本账户信息表）。（若成立时间至提交首次响应文件截止时间不足一年的可提供成立后财务报表，包含资产负债表、现金流量表、利润表、所有者权益表）；</w:t>
      </w:r>
    </w:p>
    <w:p>
      <w:pPr>
        <w:pStyle w:val="null3"/>
      </w:pPr>
      <w:r>
        <w:rPr>
          <w:rFonts w:ascii="仿宋_GB2312" w:hAnsi="仿宋_GB2312" w:cs="仿宋_GB2312" w:eastAsia="仿宋_GB2312"/>
        </w:rPr>
        <w:t>6、税收缴纳证明：2025年1月至今已缴存的任意三个月的纳税证明或完税证明，依法免税的单位应提供相关证明资料；</w:t>
      </w:r>
    </w:p>
    <w:p>
      <w:pPr>
        <w:pStyle w:val="null3"/>
      </w:pPr>
      <w:r>
        <w:rPr>
          <w:rFonts w:ascii="仿宋_GB2312" w:hAnsi="仿宋_GB2312" w:cs="仿宋_GB2312" w:eastAsia="仿宋_GB2312"/>
        </w:rPr>
        <w:t>7、社会保障资金缴纳证明：2025年1月至今已缴存的任意三个月的社会保障资金缴存单据或社保机构开具的社会保险参保缴费情况证明，单据或证明上应有社保机构或代收机构的公章。依法不需要缴纳社会保障资金的供应商应提供相关证明资料；</w:t>
      </w:r>
    </w:p>
    <w:p>
      <w:pPr>
        <w:pStyle w:val="null3"/>
      </w:pPr>
      <w:r>
        <w:rPr>
          <w:rFonts w:ascii="仿宋_GB2312" w:hAnsi="仿宋_GB2312" w:cs="仿宋_GB2312" w:eastAsia="仿宋_GB2312"/>
        </w:rPr>
        <w:t>8、没有重大违法记录的书面声明：供应商应出具参加政府采购活动前3年内在经营活动中没有重大违法记录的书面声明；</w:t>
      </w:r>
    </w:p>
    <w:p>
      <w:pPr>
        <w:pStyle w:val="null3"/>
      </w:pPr>
      <w:r>
        <w:rPr>
          <w:rFonts w:ascii="仿宋_GB2312" w:hAnsi="仿宋_GB2312" w:cs="仿宋_GB2312" w:eastAsia="仿宋_GB2312"/>
        </w:rPr>
        <w:t>9、合同履约能力：具有履行合同所必需的设备和专业技术能力的证明材料：提供承诺函；</w:t>
      </w:r>
    </w:p>
    <w:p>
      <w:pPr>
        <w:pStyle w:val="null3"/>
      </w:pPr>
      <w:r>
        <w:rPr>
          <w:rFonts w:ascii="仿宋_GB2312" w:hAnsi="仿宋_GB2312" w:cs="仿宋_GB2312" w:eastAsia="仿宋_GB2312"/>
        </w:rPr>
        <w:t>10、信用中国网、中国政府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11、供应商关系关联情况：单位负责人为同一人或者存在直接控股、管理关系的不同供应商，不得参加同一合同项下的政府采购活动；</w:t>
      </w:r>
    </w:p>
    <w:p>
      <w:pPr>
        <w:pStyle w:val="null3"/>
      </w:pPr>
      <w:r>
        <w:rPr>
          <w:rFonts w:ascii="仿宋_GB2312" w:hAnsi="仿宋_GB2312" w:cs="仿宋_GB2312" w:eastAsia="仿宋_GB2312"/>
        </w:rPr>
        <w:t>12、磋商保证金：磋商保证金转账凭证或工程信用担保原件或银行保函原件或信用承诺原件及证明资料。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渭南高新区城乡建设和管理局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渭南高新区崇业路16号创业大厦307室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韩扬帆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0913-2581283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郭晓毅、王蕾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开户名称：正凯建设项目管理有限公司</w:t>
            </w:r>
          </w:p>
          <w:p>
            <w:pPr>
              <w:pStyle w:val="null3"/>
            </w:pPr>
            <w:r>
              <w:rPr>
                <w:rFonts w:ascii="仿宋_GB2312" w:hAnsi="仿宋_GB2312" w:cs="仿宋_GB2312" w:eastAsia="仿宋_GB2312"/>
              </w:rPr>
              <w:t>开户银行：中国建行银行股份有限公司西安经济技术开发区支行</w:t>
            </w:r>
          </w:p>
          <w:p>
            <w:pPr>
              <w:pStyle w:val="null3"/>
            </w:pPr>
            <w:r>
              <w:rPr>
                <w:rFonts w:ascii="仿宋_GB2312" w:hAnsi="仿宋_GB2312" w:cs="仿宋_GB2312" w:eastAsia="仿宋_GB2312"/>
              </w:rPr>
              <w:t>银行账号：61050193004100000678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计价依据，由成交供应商在领取《成交通知书》时参照原“国家发展计划委员会2002-10-01文件“计价格〔2002〕1980号”关于印发《招标代理服务收费管理暂行办法》、发改办价格“〔2003〕857号”《国家发展改革委员会办公厅关于招标代理服务收费有关问题的通知》收费标准，一次性向采购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渭南高新区城乡建设和管理局</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渭南高新区城乡建设和管理局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渭南高新区城乡建设和管理局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1.本工程应按施工图设计文件及磋商文件(含工程量清单)全部内容完成。 2.本工程验收标准应符合国家相关工程管理规定及行业标准。 3.依据磋商文件及供应商响应文件及签证单等文件内容进行验收。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联系人：张薇、郭晓毅</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1,838,700.00</w:t>
      </w:r>
    </w:p>
    <w:p>
      <w:pPr>
        <w:pStyle w:val="null3"/>
      </w:pPr>
      <w:r>
        <w:rPr>
          <w:rFonts w:ascii="仿宋_GB2312" w:hAnsi="仿宋_GB2312" w:cs="仿宋_GB2312" w:eastAsia="仿宋_GB2312"/>
        </w:rPr>
        <w:t>采购包最高限价（元）: 1,838,700.00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高新区隐患路段新增道路交通信号灯 电子警察系统工程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1,838,700.00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标的名称：高新区隐患路段新增道路交通信号灯 电子警察系统工程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详见附件招标书（工程量清单）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60"/>
              <w:ind w:right="30"/>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工程概况：</w:t>
            </w:r>
          </w:p>
          <w:p>
            <w:pPr>
              <w:pStyle w:val="null3"/>
              <w:spacing w:before="60"/>
              <w:ind w:right="30" w:firstLine="380"/>
              <w:jc w:val="left"/>
            </w:pPr>
            <w:r>
              <w:rPr>
                <w:rFonts w:ascii="仿宋_GB2312" w:hAnsi="仿宋_GB2312" w:cs="仿宋_GB2312" w:eastAsia="仿宋_GB2312"/>
                <w:sz w:val="19"/>
                <w:color w:val="000000"/>
              </w:rPr>
              <w:t>项目涉及乐天大街与穆家路丁字、乐天大街与公园南路丁字、纬四路与穆家路丁字、纬四路与高新东路十字四个路口的道路交通信号灯控制系统、电子警察与道路监控控制系统及土建工程。</w:t>
            </w:r>
          </w:p>
          <w:p>
            <w:pPr>
              <w:pStyle w:val="null3"/>
              <w:spacing w:before="60"/>
              <w:ind w:right="30"/>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招标范围</w:t>
            </w:r>
            <w:r>
              <w:rPr>
                <w:rFonts w:ascii="仿宋_GB2312" w:hAnsi="仿宋_GB2312" w:cs="仿宋_GB2312" w:eastAsia="仿宋_GB2312"/>
                <w:sz w:val="21"/>
                <w:b/>
                <w:color w:val="000000"/>
              </w:rPr>
              <w:t>:</w:t>
            </w:r>
          </w:p>
          <w:p>
            <w:pPr>
              <w:pStyle w:val="null3"/>
              <w:spacing w:before="60"/>
              <w:ind w:right="30" w:firstLine="380"/>
              <w:jc w:val="left"/>
            </w:pPr>
            <w:r>
              <w:rPr>
                <w:rFonts w:ascii="仿宋_GB2312" w:hAnsi="仿宋_GB2312" w:cs="仿宋_GB2312" w:eastAsia="仿宋_GB2312"/>
                <w:sz w:val="19"/>
                <w:color w:val="000000"/>
              </w:rPr>
              <w:t>施工图纸及招标文件内要求的全部内容</w:t>
            </w:r>
            <w:r>
              <w:rPr>
                <w:rFonts w:ascii="仿宋_GB2312" w:hAnsi="仿宋_GB2312" w:cs="仿宋_GB2312" w:eastAsia="仿宋_GB2312"/>
                <w:sz w:val="19"/>
                <w:color w:val="000000"/>
              </w:rPr>
              <w:t>(详见工程量清单)</w:t>
            </w:r>
          </w:p>
          <w:p>
            <w:pPr>
              <w:pStyle w:val="null3"/>
              <w:spacing w:before="60"/>
              <w:ind w:right="30"/>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项目建设地点</w:t>
            </w:r>
            <w:r>
              <w:rPr>
                <w:rFonts w:ascii="仿宋_GB2312" w:hAnsi="仿宋_GB2312" w:cs="仿宋_GB2312" w:eastAsia="仿宋_GB2312"/>
                <w:sz w:val="21"/>
                <w:b/>
                <w:color w:val="000000"/>
              </w:rPr>
              <w:t>:</w:t>
            </w:r>
          </w:p>
          <w:p>
            <w:pPr>
              <w:pStyle w:val="null3"/>
              <w:spacing w:before="60"/>
              <w:ind w:right="30" w:firstLine="380"/>
              <w:jc w:val="left"/>
            </w:pPr>
            <w:r>
              <w:rPr>
                <w:rFonts w:ascii="仿宋_GB2312" w:hAnsi="仿宋_GB2312" w:cs="仿宋_GB2312" w:eastAsia="仿宋_GB2312"/>
                <w:sz w:val="19"/>
                <w:color w:val="000000"/>
              </w:rPr>
              <w:t>渭南高新区乐天大街与穆家路丁字、乐天大街与公园南路丁字、纬四路与穆家路丁字、纬四路与高新东路十字四个路口。</w:t>
            </w:r>
          </w:p>
          <w:p>
            <w:pPr>
              <w:pStyle w:val="null3"/>
              <w:spacing w:before="60"/>
              <w:ind w:right="30"/>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工期：</w:t>
            </w:r>
          </w:p>
          <w:p>
            <w:pPr>
              <w:pStyle w:val="null3"/>
              <w:spacing w:before="60"/>
              <w:ind w:right="30" w:firstLine="570"/>
              <w:jc w:val="left"/>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60日历天。</w:t>
            </w:r>
          </w:p>
          <w:p>
            <w:pPr>
              <w:pStyle w:val="null3"/>
              <w:spacing w:before="60"/>
              <w:ind w:right="30"/>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质量要求：</w:t>
            </w:r>
          </w:p>
          <w:p>
            <w:pPr>
              <w:pStyle w:val="null3"/>
              <w:spacing w:before="60"/>
              <w:ind w:right="30"/>
              <w:jc w:val="left"/>
            </w:pPr>
            <w:r>
              <w:rPr>
                <w:rFonts w:ascii="仿宋_GB2312" w:hAnsi="仿宋_GB2312" w:cs="仿宋_GB2312" w:eastAsia="仿宋_GB2312"/>
                <w:sz w:val="19"/>
                <w:color w:val="000000"/>
              </w:rPr>
              <w:t xml:space="preserve">   1.严格执行国家相关强制性标准、行业标准、地方标准及施工规范要求。</w:t>
            </w:r>
          </w:p>
          <w:p>
            <w:pPr>
              <w:pStyle w:val="null3"/>
            </w:pPr>
            <w:r>
              <w:rPr>
                <w:rFonts w:ascii="仿宋_GB2312" w:hAnsi="仿宋_GB2312" w:cs="仿宋_GB2312" w:eastAsia="仿宋_GB2312"/>
                <w:sz w:val="19"/>
              </w:rPr>
              <w:t xml:space="preserve">   2.质量标准:依据施工图纸、精准把控关键施工工艺，确保工程质量达到合格标准。</w:t>
            </w:r>
          </w:p>
          <w:p>
            <w:pPr>
              <w:pStyle w:val="null3"/>
              <w:spacing w:before="60"/>
              <w:ind w:right="30"/>
              <w:jc w:val="left"/>
            </w:pPr>
            <w:r>
              <w:rPr>
                <w:rFonts w:ascii="仿宋_GB2312" w:hAnsi="仿宋_GB2312" w:cs="仿宋_GB2312" w:eastAsia="仿宋_GB2312"/>
                <w:sz w:val="21"/>
                <w:b/>
                <w:color w:val="000000"/>
              </w:rPr>
              <w:t>六、</w:t>
            </w:r>
            <w:r>
              <w:rPr>
                <w:rFonts w:ascii="仿宋_GB2312" w:hAnsi="仿宋_GB2312" w:cs="仿宋_GB2312" w:eastAsia="仿宋_GB2312"/>
                <w:sz w:val="21"/>
                <w:b/>
                <w:color w:val="000000"/>
              </w:rPr>
              <w:t>编制说明：</w:t>
            </w:r>
          </w:p>
          <w:p>
            <w:pPr>
              <w:pStyle w:val="null3"/>
              <w:spacing w:before="60"/>
              <w:ind w:right="30" w:firstLine="570"/>
              <w:jc w:val="left"/>
            </w:pPr>
            <w:r>
              <w:rPr>
                <w:rFonts w:ascii="仿宋_GB2312" w:hAnsi="仿宋_GB2312" w:cs="仿宋_GB2312" w:eastAsia="仿宋_GB2312"/>
                <w:sz w:val="19"/>
                <w:color w:val="000000"/>
              </w:rPr>
              <w:t>一、编制依据</w:t>
            </w:r>
          </w:p>
          <w:p>
            <w:pPr>
              <w:pStyle w:val="null3"/>
              <w:spacing w:before="60"/>
              <w:ind w:right="30" w:firstLine="570"/>
              <w:jc w:val="left"/>
            </w:pPr>
            <w:r>
              <w:rPr>
                <w:rFonts w:ascii="仿宋_GB2312" w:hAnsi="仿宋_GB2312" w:cs="仿宋_GB2312" w:eastAsia="仿宋_GB2312"/>
                <w:sz w:val="19"/>
                <w:color w:val="000000"/>
              </w:rPr>
              <w:t>1.陕西省建设工程工程量清单计价标准及计算标准(2025);</w:t>
            </w:r>
          </w:p>
          <w:p>
            <w:pPr>
              <w:pStyle w:val="null3"/>
              <w:spacing w:before="60"/>
              <w:ind w:right="30" w:firstLine="570"/>
              <w:jc w:val="left"/>
            </w:pPr>
            <w:r>
              <w:rPr>
                <w:rFonts w:ascii="仿宋_GB2312" w:hAnsi="仿宋_GB2312" w:cs="仿宋_GB2312" w:eastAsia="仿宋_GB2312"/>
                <w:sz w:val="19"/>
                <w:color w:val="000000"/>
              </w:rPr>
              <w:t>2.报审文件;</w:t>
            </w:r>
          </w:p>
          <w:p>
            <w:pPr>
              <w:pStyle w:val="null3"/>
              <w:spacing w:before="60"/>
              <w:ind w:right="30" w:firstLine="570"/>
              <w:jc w:val="left"/>
            </w:pPr>
            <w:r>
              <w:rPr>
                <w:rFonts w:ascii="仿宋_GB2312" w:hAnsi="仿宋_GB2312" w:cs="仿宋_GB2312" w:eastAsia="仿宋_GB2312"/>
                <w:sz w:val="19"/>
                <w:color w:val="000000"/>
              </w:rPr>
              <w:t>3.与建设工程项目有关的标准、规范、图集、技术资料;</w:t>
            </w:r>
          </w:p>
          <w:p>
            <w:pPr>
              <w:pStyle w:val="null3"/>
              <w:spacing w:before="60"/>
              <w:ind w:right="30" w:firstLine="570"/>
              <w:jc w:val="left"/>
            </w:pPr>
            <w:r>
              <w:rPr>
                <w:rFonts w:ascii="仿宋_GB2312" w:hAnsi="仿宋_GB2312" w:cs="仿宋_GB2312" w:eastAsia="仿宋_GB2312"/>
                <w:sz w:val="19"/>
                <w:color w:val="000000"/>
              </w:rPr>
              <w:t>4.&lt;&lt;陕西省房屋建筑与装饰工程消耗量定额&gt;&gt;(2025)、&lt;&lt;陕西省通用安装工程消耗量定额&gt;&gt;(2025)、与定额相配套使用的基价表及其他相关的计价依据和办法;</w:t>
            </w:r>
          </w:p>
          <w:p>
            <w:pPr>
              <w:pStyle w:val="null3"/>
              <w:spacing w:before="60"/>
              <w:ind w:right="30" w:firstLine="570"/>
              <w:jc w:val="left"/>
            </w:pPr>
            <w:r>
              <w:rPr>
                <w:rFonts w:ascii="仿宋_GB2312" w:hAnsi="仿宋_GB2312" w:cs="仿宋_GB2312" w:eastAsia="仿宋_GB2312"/>
                <w:sz w:val="19"/>
                <w:color w:val="000000"/>
              </w:rPr>
              <w:t>5.信息价采用2025年第四期&lt;&lt;渭南市工程造价管理信息&gt;&gt;计入，信息价中没有的材料按市场价计入;</w:t>
            </w:r>
          </w:p>
          <w:p>
            <w:pPr>
              <w:pStyle w:val="null3"/>
              <w:spacing w:before="60"/>
              <w:ind w:right="30" w:firstLine="570"/>
              <w:jc w:val="left"/>
            </w:pPr>
            <w:r>
              <w:rPr>
                <w:rFonts w:ascii="仿宋_GB2312" w:hAnsi="仿宋_GB2312" w:cs="仿宋_GB2312" w:eastAsia="仿宋_GB2312"/>
                <w:sz w:val="19"/>
                <w:color w:val="000000"/>
              </w:rPr>
              <w:t>6.施工现场情况、工程特点及常规施工方案;</w:t>
            </w:r>
          </w:p>
          <w:p>
            <w:pPr>
              <w:pStyle w:val="null3"/>
              <w:spacing w:before="60"/>
              <w:ind w:right="30" w:firstLine="570"/>
              <w:jc w:val="left"/>
            </w:pPr>
            <w:r>
              <w:rPr>
                <w:rFonts w:ascii="仿宋_GB2312" w:hAnsi="仿宋_GB2312" w:cs="仿宋_GB2312" w:eastAsia="仿宋_GB2312"/>
                <w:sz w:val="19"/>
                <w:color w:val="000000"/>
              </w:rPr>
              <w:t>7.其他相关资料及政策文件。</w:t>
            </w:r>
          </w:p>
          <w:p>
            <w:pPr>
              <w:pStyle w:val="null3"/>
              <w:spacing w:before="60"/>
              <w:ind w:right="30" w:firstLine="570"/>
              <w:jc w:val="left"/>
            </w:pPr>
            <w:r>
              <w:rPr>
                <w:rFonts w:ascii="仿宋_GB2312" w:hAnsi="仿宋_GB2312" w:cs="仿宋_GB2312" w:eastAsia="仿宋_GB2312"/>
                <w:sz w:val="19"/>
                <w:color w:val="000000"/>
              </w:rPr>
              <w:t>二、取费说明</w:t>
            </w:r>
          </w:p>
          <w:p>
            <w:pPr>
              <w:pStyle w:val="null3"/>
              <w:spacing w:before="60"/>
              <w:ind w:right="30" w:firstLine="570"/>
              <w:jc w:val="left"/>
            </w:pPr>
            <w:r>
              <w:rPr>
                <w:rFonts w:ascii="仿宋_GB2312" w:hAnsi="仿宋_GB2312" w:cs="仿宋_GB2312" w:eastAsia="仿宋_GB2312"/>
                <w:sz w:val="19"/>
                <w:color w:val="000000"/>
              </w:rPr>
              <w:t>本工程造价为含税工程造价。</w:t>
            </w:r>
          </w:p>
          <w:p>
            <w:pPr>
              <w:pStyle w:val="null3"/>
              <w:spacing w:before="60"/>
              <w:ind w:right="30" w:firstLine="570"/>
              <w:jc w:val="left"/>
            </w:pPr>
            <w:r>
              <w:rPr>
                <w:rFonts w:ascii="仿宋_GB2312" w:hAnsi="仿宋_GB2312" w:cs="仿宋_GB2312" w:eastAsia="仿宋_GB2312"/>
                <w:sz w:val="19"/>
                <w:color w:val="000000"/>
              </w:rPr>
              <w:t>三、最高限价材料说明</w:t>
            </w:r>
          </w:p>
          <w:p>
            <w:pPr>
              <w:pStyle w:val="null3"/>
              <w:spacing w:before="60"/>
              <w:ind w:right="30" w:firstLine="570"/>
              <w:jc w:val="left"/>
            </w:pPr>
            <w:r>
              <w:rPr>
                <w:rFonts w:ascii="仿宋_GB2312" w:hAnsi="仿宋_GB2312" w:cs="仿宋_GB2312" w:eastAsia="仿宋_GB2312"/>
                <w:sz w:val="19"/>
                <w:color w:val="000000"/>
              </w:rPr>
              <w:t>材料价格按陕西省</w:t>
            </w:r>
            <w:r>
              <w:rPr>
                <w:rFonts w:ascii="仿宋_GB2312" w:hAnsi="仿宋_GB2312" w:cs="仿宋_GB2312" w:eastAsia="仿宋_GB2312"/>
                <w:sz w:val="19"/>
                <w:color w:val="000000"/>
              </w:rPr>
              <w:t>2025年第11期信息价、渭南建设工程造价信息2025年第5期信息价并参考市场价格计算。</w:t>
            </w:r>
          </w:p>
          <w:p>
            <w:pPr>
              <w:pStyle w:val="null3"/>
              <w:spacing w:before="60"/>
              <w:ind w:right="30" w:firstLine="570"/>
              <w:jc w:val="left"/>
            </w:pPr>
            <w:r>
              <w:rPr>
                <w:rFonts w:ascii="仿宋_GB2312" w:hAnsi="仿宋_GB2312" w:cs="仿宋_GB2312" w:eastAsia="仿宋_GB2312"/>
                <w:sz w:val="19"/>
                <w:color w:val="000000"/>
              </w:rPr>
              <w:t>四、其他说明</w:t>
            </w:r>
          </w:p>
          <w:p>
            <w:pPr>
              <w:pStyle w:val="null3"/>
            </w:pPr>
            <w:r>
              <w:rPr>
                <w:rFonts w:ascii="仿宋_GB2312" w:hAnsi="仿宋_GB2312" w:cs="仿宋_GB2312" w:eastAsia="仿宋_GB2312"/>
                <w:sz w:val="19"/>
              </w:rPr>
              <w:t xml:space="preserve">    1. 编制软件采用广联达清单GCCP7.0，版本号7.5000.23.2。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1.严格执行国家相关强制性标准、行业标准、地方标准及施工规范要求。 2.质量标准:依据施工图纸、精准把控关键施工工艺，确保工程质量达到合格标准。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1.本工程应按施工图设计文件及磋商文件(含工程量清单)全部内容完成。 2.本工程验收标准应符合国家相关工程管理规定及行业标准。 3.依据磋商文件及供应商响应文件及签证单等文件内容进行验收。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合同履约能力.docx 税收缴纳证明.docx 财务状况证明.docx 供应商基本情况.docx 没有重大违法记录的书面声明.docx 供应商应提交的相关资格证明材料 响应函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财务状况证明.docx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供应商须具备独立承担民事责任能力的法人或其他组织，并出具合法有效的营业执照（含2024年或2025年年度报告）等相关证明；</w:t>
            </w:r>
          </w:p>
        </w:tc>
        <w:tc>
          <w:tcPr>
            <w:tcW w:type="dxa" w:w="1661"/>
          </w:tcPr>
          <w:p>
            <w:pPr>
              <w:pStyle w:val="null3"/>
            </w:pPr>
            <w:r>
              <w:rPr>
                <w:rFonts w:ascii="仿宋_GB2312" w:hAnsi="仿宋_GB2312" w:cs="仿宋_GB2312" w:eastAsia="仿宋_GB2312"/>
              </w:rPr>
              <w:t>供应商基本情况.docx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供应商须具有建设行政主管部门颁发的电子与智能化工程专业承包二级及以上资质，并具有有效的安全生产许可证；</w:t>
            </w:r>
          </w:p>
        </w:tc>
        <w:tc>
          <w:tcPr>
            <w:tcW w:type="dxa" w:w="1661"/>
          </w:tcPr>
          <w:p>
            <w:pPr>
              <w:pStyle w:val="null3"/>
            </w:pPr>
            <w:r>
              <w:rPr>
                <w:rFonts w:ascii="仿宋_GB2312" w:hAnsi="仿宋_GB2312" w:cs="仿宋_GB2312" w:eastAsia="仿宋_GB2312"/>
              </w:rPr>
              <w:t>供应商资质.docx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的，须提供法定代表人身份证复印件并出示身份证原件；法定代表人授权他人参加的，须提供法定代表人授权委托书原件及法定代表人身份证复印件，并出示被授权代表的身份证原件及复印件和被授权代表近三个月社保缴纳证明；</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供应商拟派项目经理须具备机电工程专业二级及以上注册建造师执业资格，并具有合法有效的安全生产考核合格证(建安B证)，且未担任其他在建项目的项目经理；</w:t>
            </w:r>
          </w:p>
        </w:tc>
        <w:tc>
          <w:tcPr>
            <w:tcW w:type="dxa" w:w="1661"/>
          </w:tcPr>
          <w:p>
            <w:pPr>
              <w:pStyle w:val="null3"/>
            </w:pPr>
            <w:r>
              <w:rPr>
                <w:rFonts w:ascii="仿宋_GB2312" w:hAnsi="仿宋_GB2312" w:cs="仿宋_GB2312" w:eastAsia="仿宋_GB2312"/>
              </w:rPr>
              <w:t>项目负责人资格证明.docx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供应商基本开户银行出具开标日期前三个月内的资信证明及基本存款账户开户许可证（基本账户信息表）。（若成立时间至提交首次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2025年1月至今已缴存的任意三个月的纳税证明或完税证明，依法免税的单位应提供相关证明资料；</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存的任意三个月的社会保障资金缴存单据或社保机构开具的社会保险参保缴费情况证明，单据或证明上应有社保机构或代收机构的公章。依法不需要缴纳社会保障资金的供应商应提供相关证明资料；</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没有重大违法记录的书面声明.docx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具有履行合同所必需的设备和专业技术能力的证明材料：提供承诺函；</w:t>
            </w:r>
          </w:p>
        </w:tc>
        <w:tc>
          <w:tcPr>
            <w:tcW w:type="dxa" w:w="1661"/>
          </w:tcPr>
          <w:p>
            <w:pPr>
              <w:pStyle w:val="null3"/>
            </w:pPr>
            <w:r>
              <w:rPr>
                <w:rFonts w:ascii="仿宋_GB2312" w:hAnsi="仿宋_GB2312" w:cs="仿宋_GB2312" w:eastAsia="仿宋_GB2312"/>
              </w:rPr>
              <w:t>合同履约能力.docx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信用中国网、中国政府采购网查询情况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信用中国网、中国政府采购网查询情况.docx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供应商企业关系关联承诺书.docx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磋商保证金转账凭证或工程信用担保原件或银行保函原件或信用承诺原件及证明资料。</w:t>
            </w:r>
          </w:p>
        </w:tc>
        <w:tc>
          <w:tcPr>
            <w:tcW w:type="dxa" w:w="1661"/>
          </w:tcPr>
          <w:p>
            <w:pPr>
              <w:pStyle w:val="null3"/>
            </w:pPr>
            <w:r>
              <w:rPr>
                <w:rFonts w:ascii="仿宋_GB2312" w:hAnsi="仿宋_GB2312" w:cs="仿宋_GB2312" w:eastAsia="仿宋_GB2312"/>
              </w:rPr>
              <w:t>磋商保证金.docx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45%或者低于其他有效供应商报价算术平均价40%，有可能影响工程质量或者不能诚信履约的，磋商小组应当要求其在评审现场合理的时间内提供成本构成书面说明，并提交相关证明材料；供应商不能证明其报价合理性的，磋商小组应当将其作为无效响应处理。 2.供应商提交的相关证明材料，应当加盖供应商(法定名称)电子印章，在磋商小组要求的时间内通过项目电子化交易系统进行提交，否则提交的相关证明材料无效。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 商递交的磋商响应文件与本项目名称一致</w:t>
            </w:r>
          </w:p>
        </w:tc>
        <w:tc>
          <w:tcPr>
            <w:tcW w:type="dxa" w:w="1661"/>
          </w:tcPr>
          <w:p>
            <w:pPr>
              <w:pStyle w:val="null3"/>
            </w:pPr>
            <w:r>
              <w:rPr>
                <w:rFonts w:ascii="仿宋_GB2312" w:hAnsi="仿宋_GB2312" w:cs="仿宋_GB2312" w:eastAsia="仿宋_GB2312"/>
              </w:rPr>
              <w:t>税收缴纳证明.docx 信用中国网、中国政府采购网查询情况.docx 已标价工程量清单 磋商保证金.docx 供应商资质.docx 财务状况证明.docx 中小企业声明函 供应商应提交的相关资格证明材料 施工组织设计.docx 强制优先采购产品承诺函 响应文件封面 合同履约能力.docx 项目负责人资格证明.docx 企业综合实力.docx 供应商企业关系关联承诺书.docx 残疾人福利性单位声明函 报价函 供应商基本情况.docx 标的清单 没有重大违法记录的书面声明.docx 响应函 法定代表人身份证明或法定代表人授权委托书.docx 监狱企业的证明文件 社会保障资金缴纳证明.docx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磋商报价没有低于成本价或高于最高限价的。</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自合同签订之日起60日历天。</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磋商基准价，其价格分为满分45分。磋商报价得分=(磋商基准价/最终磋商报价)x45%x100的公式计算得分。磋商报价不完整的，不进入评标标准价的计算，本项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提供2024年1月1日至今类似项目业绩，提供一项有效业绩得2分，最高得6分。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提供2024年1月1日至今类似项目业绩，提供一项有效业绩得2分，最高得4分。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工程质量保证措施科学、合理、可行性强得3.1-5分；基本合理、可行得2.1-3分；措施不合理，可行性较差得1-2分；未响应得0分。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安全生产保证措施科学、合理、可行性强得3.1-5分；基本合理、可行得2.1-3分；不合理，可行性差得1-2分；未响应得0分。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文明施工保证措施科学、合理、可行性强得2.1-4分；比较合理，可行性一般得1-2分；未响应得0分。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工期保障措施科学、合理、可行性强得3.1-5分；工期保障措施基本合理、可行性一般得2.1-3分；工期保障措施不合理，可行性较差得1-2分；未响应得0分。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环境保护措施科学、合理、可行性强得2.1-4分；环境保护措施较合理，可行性一般得1-2分；未响应得0分。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思路清晰、合理、可行，对项目实施具有较强的指导作用得3.1-5分；思路基本清晰、具有一定的合理性和可行性，对项目实施可起到一定指导作用2.1-3分；施工方案不完整、不合理，可行性较差得1-2分；未响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机械设备配置合理、可行，且满足本工程实际需求得2.1-4分；机械设备配置较合理、可行性一般，基本满足本工程需求得1-2分；未响应得0分。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施工进度计划表或施工网络图方案科学、合理、可行性强得2.1-4分；基本合理、可行得1-2分；不合理，可行性差,未响应均得0分。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部组成人员配备合理、制度完善、职责分工明确、满足工程需求，总体实力强得3.1-5分；人员配备基本合理、制度基本完善、职责分工基本明确、基本满足项目需求，总体实力较强的得2.1-3分；人员配备不合理、制度不完善，职责分工不明确、无法满足项目需求，总体实力一般的得1-2分；未响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施工现场平面布置图</w:t>
            </w:r>
          </w:p>
        </w:tc>
        <w:tc>
          <w:tcPr>
            <w:tcW w:type="dxa" w:w="2492"/>
          </w:tcPr>
          <w:p>
            <w:pPr>
              <w:pStyle w:val="null3"/>
            </w:pPr>
            <w:r>
              <w:rPr>
                <w:rFonts w:ascii="仿宋_GB2312" w:hAnsi="仿宋_GB2312" w:cs="仿宋_GB2312" w:eastAsia="仿宋_GB2312"/>
              </w:rPr>
              <w:t>施工现场平面布置图科学、合理、可行性强得2.1-4分；施工现场平面布置图一般、可行性一般得1-2分；未响应得0分。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详见附件：供应商基本情况.docx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详见附件：合同履约能力.docx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详见附件：没有重大违法记录的书面声明.docx</w:t>
      </w:r>
    </w:p>
    <w:p>
      <w:pPr>
        <w:pStyle w:val="null3"/>
        <w:ind w:firstLine="960"/>
      </w:pPr>
      <w:r>
        <w:rPr>
          <w:rFonts w:ascii="仿宋_GB2312" w:hAnsi="仿宋_GB2312" w:cs="仿宋_GB2312" w:eastAsia="仿宋_GB2312"/>
        </w:rPr>
        <w:t>详见附件：项目负责人资格证明.docx</w:t>
      </w:r>
    </w:p>
    <w:p>
      <w:pPr>
        <w:pStyle w:val="null3"/>
        <w:ind w:firstLine="960"/>
      </w:pPr>
      <w:r>
        <w:rPr>
          <w:rFonts w:ascii="仿宋_GB2312" w:hAnsi="仿宋_GB2312" w:cs="仿宋_GB2312" w:eastAsia="仿宋_GB2312"/>
        </w:rPr>
        <w:t>详见附件：信用中国网、中国政府采购网查询情况.docx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详见附件：供应商资质.docx</w:t>
      </w:r>
    </w:p>
    <w:p>
      <w:pPr>
        <w:pStyle w:val="null3"/>
        <w:ind w:firstLine="960"/>
      </w:pPr>
      <w:r>
        <w:rPr>
          <w:rFonts w:ascii="仿宋_GB2312" w:hAnsi="仿宋_GB2312" w:cs="仿宋_GB2312" w:eastAsia="仿宋_GB2312"/>
        </w:rPr>
        <w:t>详见附件：企业综合实力.docx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详见附件：高新区隐患路段新增道路交通信号灯、电子警察系统工程.docx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