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版本号：JJX-2026-00520260123001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学生护眼灯和智慧黑板采购项目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JJX-2026-005</w:t>
      </w:r>
      <w:r>
        <w:br/>
      </w:r>
      <w:r>
        <w:br/>
      </w:r>
      <w:r>
        <w:br/>
      </w:r>
    </w:p>
    <w:p>
      <w:pPr>
        <w:pStyle w:val="null3"/>
        <w:jc w:val="center"/>
        <w:outlineLvl w:val="2"/>
      </w:pPr>
      <w:r>
        <w:rPr>
          <w:rFonts w:ascii="仿宋_GB2312" w:hAnsi="仿宋_GB2312" w:cs="仿宋_GB2312" w:eastAsia="仿宋_GB2312"/>
          <w:sz w:val="28"/>
          <w:b/>
        </w:rPr>
        <w:t>渭南中学</w:t>
      </w:r>
    </w:p>
    <w:p>
      <w:pPr>
        <w:pStyle w:val="null3"/>
        <w:jc w:val="center"/>
        <w:outlineLvl w:val="2"/>
      </w:pPr>
      <w:r>
        <w:rPr>
          <w:rFonts w:ascii="仿宋_GB2312" w:hAnsi="仿宋_GB2312" w:cs="仿宋_GB2312" w:eastAsia="仿宋_GB2312"/>
          <w:sz w:val="28"/>
          <w:b/>
        </w:rPr>
        <w:t>陕西金吉翔项目管理有限公司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2026年01月23日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陕西金吉翔项目管理有限公司</w:t>
      </w:r>
      <w:r>
        <w:rPr>
          <w:rFonts w:ascii="仿宋_GB2312" w:hAnsi="仿宋_GB2312" w:cs="仿宋_GB2312" w:eastAsia="仿宋_GB2312"/>
        </w:rPr>
        <w:t>（以下简称“代理机构”）受</w:t>
      </w:r>
      <w:r>
        <w:rPr>
          <w:rFonts w:ascii="仿宋_GB2312" w:hAnsi="仿宋_GB2312" w:cs="仿宋_GB2312" w:eastAsia="仿宋_GB2312"/>
        </w:rPr>
        <w:t>渭南中学</w:t>
      </w:r>
      <w:r>
        <w:rPr>
          <w:rFonts w:ascii="仿宋_GB2312" w:hAnsi="仿宋_GB2312" w:cs="仿宋_GB2312" w:eastAsia="仿宋_GB2312"/>
        </w:rPr>
        <w:t>委托，拟对</w:t>
      </w:r>
      <w:r>
        <w:rPr>
          <w:rFonts w:ascii="仿宋_GB2312" w:hAnsi="仿宋_GB2312" w:cs="仿宋_GB2312" w:eastAsia="仿宋_GB2312"/>
        </w:rPr>
        <w:t>学生护眼灯和智慧黑板采购项目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JJX-2026-005</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学生护眼灯和智慧黑板采购项目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为提高学校教学质量，保障教育教学工作正常开展，拟采购学生护眼灯和智慧黑板一批。</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1、法人证明或法人授权委托书：提供法定代表人授权委托书（附法定代表人、被授权人身份证复印件）；法定代表人直接参加投标，须提供法定代表人证明书（附法定代表人身份证复印件）。</w:t>
      </w:r>
    </w:p>
    <w:p>
      <w:pPr>
        <w:pStyle w:val="null3"/>
      </w:pPr>
      <w:r>
        <w:rPr>
          <w:rFonts w:ascii="仿宋_GB2312" w:hAnsi="仿宋_GB2312" w:cs="仿宋_GB2312" w:eastAsia="仿宋_GB2312"/>
        </w:rPr>
        <w:t>2、信用中国网、中国执行公开网和中国政府采购网查询情况：供应商未被《信用中国》（网站：www.creditchina.gov.cn)列入重大税收违法失信主体、未被《中国执行信息公开网》（网站：http://zxgk.court.gov.cn/shixin/)列入失信被执行人及未被《中国政府采购网》（网站：www.ccgp.gov.cn）列入政府采购严重违法失信行为记录名单。</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1、法人证明或法人授权委托书：提供法定代表人授权委托书（附法定代表人、被授权人身份证复印件）；法定代表人直接参加投标，须提供法定代表人证明书（附法定代表人身份证复印件）。</w:t>
      </w:r>
    </w:p>
    <w:p>
      <w:pPr>
        <w:pStyle w:val="null3"/>
      </w:pPr>
      <w:r>
        <w:rPr>
          <w:rFonts w:ascii="仿宋_GB2312" w:hAnsi="仿宋_GB2312" w:cs="仿宋_GB2312" w:eastAsia="仿宋_GB2312"/>
        </w:rPr>
        <w:t>2、信用中国网、中国执行公开网和中国政府采购网查询情况：供应商未被《信用中国》（网站：www.creditchina.gov.cn)列入重大税收违法失信主体、未被《中国执行信息公开网》（网站：http://zxgk.court.gov.cn/shixin/)列入失信被执行人及未被《中国政府采购网》（网站：www.ccgp.gov.cn）列入政府采购严重违法失信行为记录名单。</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渭南中学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渭南市高新区辛市街道建设路中段</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赵兵</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0913-8127555</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陕西金吉翔项目管理有限公司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渭南市临渭区玉德路豪庭佳苑南门东商铺4层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郭晨</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0913-2529777</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高新区政府采购管理股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贺老师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0913-2111101</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采购包1：513,980.00元</w:t>
            </w:r>
          </w:p>
          <w:p>
            <w:pPr>
              <w:pStyle w:val="null3"/>
            </w:pPr>
            <w:r>
              <w:rPr>
                <w:rFonts w:ascii="仿宋_GB2312" w:hAnsi="仿宋_GB2312" w:cs="仿宋_GB2312" w:eastAsia="仿宋_GB2312"/>
              </w:rPr>
              <w:t>采购包2：1,956,020.00元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按照《国家发展改革委关于进一步放开建设项目专业服务价格的通知》（发改价格﹝2015﹞299号）的要求，参照国家计委关于印发《招标代理服务收费管理暂行办法》的通知（计价格〔2002〕1980号）以成交价为基数，按照货物类费率收取代理服务费。由中标人在中标结果发布后一次性向采购代理机构缴纳。</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渭南中学</w:t>
      </w:r>
      <w:r>
        <w:rPr>
          <w:rFonts w:ascii="仿宋_GB2312" w:hAnsi="仿宋_GB2312" w:cs="仿宋_GB2312" w:eastAsia="仿宋_GB2312"/>
        </w:rPr>
        <w:t>和</w:t>
      </w:r>
      <w:r>
        <w:rPr>
          <w:rFonts w:ascii="仿宋_GB2312" w:hAnsi="仿宋_GB2312" w:cs="仿宋_GB2312" w:eastAsia="仿宋_GB2312"/>
        </w:rPr>
        <w:t>陕西金吉翔项目管理有限公司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渭南中学</w:t>
      </w:r>
      <w:r>
        <w:rPr>
          <w:rFonts w:ascii="仿宋_GB2312" w:hAnsi="仿宋_GB2312" w:cs="仿宋_GB2312" w:eastAsia="仿宋_GB2312"/>
        </w:rPr>
        <w:t>负责解释。除上述招标文件内容，其他内容由</w:t>
      </w:r>
      <w:r>
        <w:rPr>
          <w:rFonts w:ascii="仿宋_GB2312" w:hAnsi="仿宋_GB2312" w:cs="仿宋_GB2312" w:eastAsia="仿宋_GB2312"/>
        </w:rPr>
        <w:t>陕西金吉翔项目管理有限公司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渭南中学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陕西金吉翔项目管理有限公司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项目实施完毕后，供应商应向采购人提交项目验收报告，申请项目验收，并将项目实施过程中相关资料提交采购人。采购人收到项目验收报告后，组织相关人员进行验收。 验收标准按照国家、行业有关规范和要求执行。供应商承诺完全达到国家有关部门验收标准，并全部通过验收为交付使用的基本条件。</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项目实施完毕后，供应商应向采购人提交项目验收报告，申请项目验收，并将项目实施过程中相关资料提交采购人。采购人收到项目验收报告后，组织相关人员进行验收。 验收标准按照国家、行业有关规范和要求执行。供应商承诺完全达到国家有关部门验收标准，并全部通过验收为交付使用的基本条件。</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陕西金吉翔项目管理有限公司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陕西金吉翔项目管理有限公司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陕西金吉翔项目管理有限公司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联系人：郭晨</w:t>
      </w:r>
    </w:p>
    <w:p>
      <w:pPr>
        <w:pStyle w:val="null3"/>
      </w:pPr>
      <w:r>
        <w:rPr>
          <w:rFonts w:ascii="仿宋_GB2312" w:hAnsi="仿宋_GB2312" w:cs="仿宋_GB2312" w:eastAsia="仿宋_GB2312"/>
        </w:rPr>
        <w:t>联系电话：0913-2529777</w:t>
      </w:r>
    </w:p>
    <w:p>
      <w:pPr>
        <w:pStyle w:val="null3"/>
      </w:pPr>
      <w:r>
        <w:rPr>
          <w:rFonts w:ascii="仿宋_GB2312" w:hAnsi="仿宋_GB2312" w:cs="仿宋_GB2312" w:eastAsia="仿宋_GB2312"/>
        </w:rPr>
        <w:t>地址：渭南市临渭区玉德路豪庭佳苑南门东商铺4层</w:t>
      </w:r>
    </w:p>
    <w:p>
      <w:pPr>
        <w:pStyle w:val="null3"/>
      </w:pPr>
      <w:r>
        <w:rPr>
          <w:rFonts w:ascii="仿宋_GB2312" w:hAnsi="仿宋_GB2312" w:cs="仿宋_GB2312" w:eastAsia="仿宋_GB2312"/>
        </w:rPr>
        <w:t>邮编：714000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为提高学校教学质量，保障教育教学工作正常开展，拟采购学生护眼灯和智慧黑板一批。</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513,980.00</w:t>
      </w:r>
    </w:p>
    <w:p>
      <w:pPr>
        <w:pStyle w:val="null3"/>
      </w:pPr>
      <w:r>
        <w:rPr>
          <w:rFonts w:ascii="仿宋_GB2312" w:hAnsi="仿宋_GB2312" w:cs="仿宋_GB2312" w:eastAsia="仿宋_GB2312"/>
        </w:rPr>
        <w:t>采购包最高限价（元）: 513,980.00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学生护眼灯</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513,980.00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1,956,020.00</w:t>
      </w:r>
    </w:p>
    <w:p>
      <w:pPr>
        <w:pStyle w:val="null3"/>
      </w:pPr>
      <w:r>
        <w:rPr>
          <w:rFonts w:ascii="仿宋_GB2312" w:hAnsi="仿宋_GB2312" w:cs="仿宋_GB2312" w:eastAsia="仿宋_GB2312"/>
        </w:rPr>
        <w:t>采购包最高限价（元）: 1,956,020.00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智慧黑板</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1,956,020.00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标的名称：学生护眼灯</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39"/>
              <w:gridCol w:w="320"/>
              <w:gridCol w:w="1493"/>
              <w:gridCol w:w="253"/>
              <w:gridCol w:w="248"/>
            </w:tblGrid>
            <w:tr>
              <w:tc>
                <w:tcPr>
                  <w:tcW w:type="dxa" w:w="2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000000"/>
                    </w:rPr>
                    <w:t>序号</w:t>
                  </w:r>
                </w:p>
              </w:tc>
              <w:tc>
                <w:tcPr>
                  <w:tcW w:type="dxa" w:w="32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000000"/>
                    </w:rPr>
                    <w:t>名称</w:t>
                  </w:r>
                </w:p>
              </w:tc>
              <w:tc>
                <w:tcPr>
                  <w:tcW w:type="dxa" w:w="14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000000"/>
                    </w:rPr>
                    <w:t>技术参数</w:t>
                  </w:r>
                </w:p>
              </w:tc>
              <w:tc>
                <w:tcPr>
                  <w:tcW w:type="dxa" w:w="2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rPr>
                    <w:t>数量</w:t>
                  </w:r>
                </w:p>
              </w:tc>
              <w:tc>
                <w:tcPr>
                  <w:tcW w:type="dxa" w:w="24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000000"/>
                    </w:rPr>
                    <w:t>单位</w:t>
                  </w:r>
                </w:p>
              </w:tc>
            </w:tr>
            <w:tr>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000000"/>
                    </w:rPr>
                    <w:t>LED教室灯</w:t>
                  </w:r>
                  <w:r>
                    <w:rPr>
                      <w:rFonts w:ascii="仿宋_GB2312" w:hAnsi="仿宋_GB2312" w:cs="仿宋_GB2312" w:eastAsia="仿宋_GB2312"/>
                      <w:sz w:val="28"/>
                      <w:b/>
                      <w:color w:val="000000"/>
                    </w:rPr>
                    <w:t>（</w:t>
                  </w:r>
                  <w:r>
                    <w:rPr>
                      <w:rFonts w:ascii="仿宋_GB2312" w:hAnsi="仿宋_GB2312" w:cs="仿宋_GB2312" w:eastAsia="仿宋_GB2312"/>
                      <w:sz w:val="28"/>
                      <w:b/>
                      <w:color w:val="000000"/>
                    </w:rPr>
                    <w:t>核心产品</w:t>
                  </w:r>
                  <w:r>
                    <w:rPr>
                      <w:rFonts w:ascii="仿宋_GB2312" w:hAnsi="仿宋_GB2312" w:cs="仿宋_GB2312" w:eastAsia="仿宋_GB2312"/>
                      <w:sz w:val="28"/>
                      <w:color w:val="000000"/>
                    </w:rPr>
                    <w:t>）</w:t>
                  </w:r>
                </w:p>
                <w:p>
                  <w:pPr>
                    <w:pStyle w:val="null3"/>
                    <w:jc w:val="center"/>
                  </w:pPr>
                </w:p>
              </w:tc>
              <w:tc>
                <w:tcPr>
                  <w:tcW w:type="dxa" w:w="1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1、建议尺寸：灯具长度1200±10mm、宽度300±10mm、厚度＜85mm。</w:t>
                  </w:r>
                </w:p>
                <w:p>
                  <w:pPr>
                    <w:pStyle w:val="null3"/>
                    <w:jc w:val="left"/>
                  </w:pPr>
                  <w:r>
                    <w:rPr>
                      <w:rFonts w:ascii="仿宋_GB2312" w:hAnsi="仿宋_GB2312" w:cs="仿宋_GB2312" w:eastAsia="仿宋_GB2312"/>
                      <w:sz w:val="28"/>
                    </w:rPr>
                    <w:t>▲2、采用光源一体式LED格栅灯具，采用防眩格栅设计，格栅采用一体成型工艺，IP防护等级≥IP40。</w:t>
                  </w:r>
                </w:p>
                <w:p>
                  <w:pPr>
                    <w:pStyle w:val="null3"/>
                    <w:jc w:val="left"/>
                  </w:pPr>
                  <w:r>
                    <w:rPr>
                      <w:rFonts w:ascii="仿宋_GB2312" w:hAnsi="仿宋_GB2312" w:cs="仿宋_GB2312" w:eastAsia="仿宋_GB2312"/>
                      <w:sz w:val="28"/>
                    </w:rPr>
                    <w:t>▲3、功率≤50W，功率因数≥0.90。</w:t>
                  </w:r>
                </w:p>
                <w:p>
                  <w:pPr>
                    <w:pStyle w:val="null3"/>
                    <w:jc w:val="left"/>
                  </w:pPr>
                  <w:r>
                    <w:rPr>
                      <w:rFonts w:ascii="仿宋_GB2312" w:hAnsi="仿宋_GB2312" w:cs="仿宋_GB2312" w:eastAsia="仿宋_GB2312"/>
                      <w:sz w:val="28"/>
                    </w:rPr>
                    <w:t>▲4、色温在3500K-5300K区间，色容差＜3。</w:t>
                  </w:r>
                </w:p>
                <w:p>
                  <w:pPr>
                    <w:pStyle w:val="null3"/>
                    <w:jc w:val="left"/>
                  </w:pPr>
                  <w:r>
                    <w:rPr>
                      <w:rFonts w:ascii="仿宋_GB2312" w:hAnsi="仿宋_GB2312" w:cs="仿宋_GB2312" w:eastAsia="仿宋_GB2312"/>
                      <w:sz w:val="28"/>
                    </w:rPr>
                    <w:t>▲5、显色指数≥90，特殊显色指数R9≥50。</w:t>
                  </w:r>
                </w:p>
                <w:p>
                  <w:pPr>
                    <w:pStyle w:val="null3"/>
                    <w:jc w:val="left"/>
                  </w:pPr>
                  <w:r>
                    <w:rPr>
                      <w:rFonts w:ascii="仿宋_GB2312" w:hAnsi="仿宋_GB2312" w:cs="仿宋_GB2312" w:eastAsia="仿宋_GB2312"/>
                      <w:sz w:val="28"/>
                    </w:rPr>
                    <w:t>6、LED教室灯的光生物安全性为无危险类。</w:t>
                  </w:r>
                </w:p>
                <w:p>
                  <w:pPr>
                    <w:pStyle w:val="null3"/>
                    <w:jc w:val="left"/>
                  </w:pPr>
                  <w:r>
                    <w:rPr>
                      <w:rFonts w:ascii="仿宋_GB2312" w:hAnsi="仿宋_GB2312" w:cs="仿宋_GB2312" w:eastAsia="仿宋_GB2312"/>
                      <w:sz w:val="28"/>
                    </w:rPr>
                    <w:t>7、蓝光危害等级为RG0。</w:t>
                  </w:r>
                </w:p>
                <w:p>
                  <w:pPr>
                    <w:pStyle w:val="null3"/>
                    <w:jc w:val="left"/>
                  </w:pPr>
                  <w:r>
                    <w:rPr>
                      <w:rFonts w:ascii="仿宋_GB2312" w:hAnsi="仿宋_GB2312" w:cs="仿宋_GB2312" w:eastAsia="仿宋_GB2312"/>
                      <w:sz w:val="28"/>
                    </w:rPr>
                    <w:t>8、LED教室灯电子件护眼闪烁频率要求无危害或无显著影响，且其输出光的波形的波动深度在9Hz＜f≤3125Hz；波动深度FPF≤1.5%。</w:t>
                  </w:r>
                </w:p>
                <w:p>
                  <w:pPr>
                    <w:pStyle w:val="null3"/>
                    <w:jc w:val="left"/>
                  </w:pPr>
                  <w:r>
                    <w:rPr>
                      <w:rFonts w:ascii="仿宋_GB2312" w:hAnsi="仿宋_GB2312" w:cs="仿宋_GB2312" w:eastAsia="仿宋_GB2312"/>
                      <w:sz w:val="28"/>
                    </w:rPr>
                    <w:t>9、LED教室灯采用对称配光（根据国家标准的要求），光束角(半峰光束角)在C0-C180面及C90-C270面的值为≥80°。</w:t>
                  </w:r>
                </w:p>
                <w:p>
                  <w:pPr>
                    <w:pStyle w:val="null3"/>
                    <w:jc w:val="left"/>
                  </w:pPr>
                  <w:r>
                    <w:rPr>
                      <w:rFonts w:ascii="仿宋_GB2312" w:hAnsi="仿宋_GB2312" w:cs="仿宋_GB2312" w:eastAsia="仿宋_GB2312"/>
                      <w:sz w:val="28"/>
                    </w:rPr>
                    <w:t>10、灯具骚扰电压应符合GB/T31275-2020（照明设备对人体电磁辐射的评价）的规定，LED教室灯人体电磁辐射测试满足20kHz-10MHz感应电流密度系数≤0.15。</w:t>
                  </w:r>
                </w:p>
                <w:p>
                  <w:pPr>
                    <w:pStyle w:val="null3"/>
                    <w:jc w:val="left"/>
                  </w:pPr>
                  <w:r>
                    <w:rPr>
                      <w:rFonts w:ascii="仿宋_GB2312" w:hAnsi="仿宋_GB2312" w:cs="仿宋_GB2312" w:eastAsia="仿宋_GB2312"/>
                      <w:sz w:val="28"/>
                    </w:rPr>
                    <w:t>11、教室灯通过频闪性能测试，且符合GB/T31831-2015标准要求。</w:t>
                  </w:r>
                </w:p>
                <w:p>
                  <w:pPr>
                    <w:pStyle w:val="null3"/>
                    <w:jc w:val="left"/>
                  </w:pPr>
                  <w:r>
                    <w:rPr>
                      <w:rFonts w:ascii="仿宋_GB2312" w:hAnsi="仿宋_GB2312" w:cs="仿宋_GB2312" w:eastAsia="仿宋_GB2312"/>
                      <w:sz w:val="28"/>
                    </w:rPr>
                    <w:t>12、依据GB/T33721-2017《LED灯具可靠性试验方法》中对应的方法验证，使用设计寿命≥50000小时。</w:t>
                  </w:r>
                </w:p>
                <w:p>
                  <w:pPr>
                    <w:pStyle w:val="null3"/>
                    <w:jc w:val="left"/>
                  </w:pPr>
                  <w:r>
                    <w:rPr>
                      <w:rFonts w:ascii="仿宋_GB2312" w:hAnsi="仿宋_GB2312" w:cs="仿宋_GB2312" w:eastAsia="仿宋_GB2312"/>
                      <w:sz w:val="28"/>
                    </w:rPr>
                    <w:t>13、通过GB/T26572-2011《电子电气产品中限用物质限量要求》、GB/T26125-2011《电子电气产品六种限用物质的检测方法》符合性认证。</w:t>
                  </w:r>
                </w:p>
                <w:p>
                  <w:pPr>
                    <w:pStyle w:val="null3"/>
                    <w:jc w:val="left"/>
                  </w:pPr>
                  <w:r>
                    <w:rPr>
                      <w:rFonts w:ascii="仿宋_GB2312" w:hAnsi="仿宋_GB2312" w:cs="仿宋_GB2312" w:eastAsia="仿宋_GB2312"/>
                      <w:sz w:val="28"/>
                    </w:rPr>
                    <w:t>14、教室灯须通过国家强制性CCC认证。</w:t>
                  </w:r>
                </w:p>
              </w:tc>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522</w:t>
                  </w:r>
                </w:p>
              </w:tc>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台</w:t>
                  </w:r>
                </w:p>
              </w:tc>
            </w:tr>
            <w:tr>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2</w:t>
                  </w:r>
                </w:p>
              </w:tc>
              <w:tc>
                <w:tcPr>
                  <w:tcW w:type="dxa" w:w="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LED黑板灯</w:t>
                  </w:r>
                </w:p>
                <w:p>
                  <w:pPr>
                    <w:pStyle w:val="null3"/>
                    <w:jc w:val="center"/>
                  </w:pPr>
                </w:p>
              </w:tc>
              <w:tc>
                <w:tcPr>
                  <w:tcW w:type="dxa" w:w="1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1、建议尺寸：长度≥1200mm±10mm。</w:t>
                  </w:r>
                </w:p>
                <w:p>
                  <w:pPr>
                    <w:pStyle w:val="null3"/>
                    <w:jc w:val="left"/>
                  </w:pPr>
                  <w:r>
                    <w:rPr>
                      <w:rFonts w:ascii="仿宋_GB2312" w:hAnsi="仿宋_GB2312" w:cs="仿宋_GB2312" w:eastAsia="仿宋_GB2312"/>
                      <w:sz w:val="28"/>
                    </w:rPr>
                    <w:t>▲2、黑板灯为一体式灯具，灯具采用易散热的铝型材金属材质，表面进行防腐防锈防静电处理，IP防护等级≥IP40。</w:t>
                  </w:r>
                </w:p>
                <w:p>
                  <w:pPr>
                    <w:pStyle w:val="null3"/>
                    <w:jc w:val="left"/>
                  </w:pPr>
                  <w:r>
                    <w:rPr>
                      <w:rFonts w:ascii="仿宋_GB2312" w:hAnsi="仿宋_GB2312" w:cs="仿宋_GB2312" w:eastAsia="仿宋_GB2312"/>
                      <w:sz w:val="28"/>
                    </w:rPr>
                    <w:t>▲3、功率≤50W，功率因数≥0.90</w:t>
                  </w:r>
                </w:p>
                <w:p>
                  <w:pPr>
                    <w:pStyle w:val="null3"/>
                    <w:jc w:val="left"/>
                  </w:pPr>
                  <w:r>
                    <w:rPr>
                      <w:rFonts w:ascii="仿宋_GB2312" w:hAnsi="仿宋_GB2312" w:cs="仿宋_GB2312" w:eastAsia="仿宋_GB2312"/>
                      <w:sz w:val="28"/>
                    </w:rPr>
                    <w:t>▲4、色温在3500K-5300K区间，色容差＜3。</w:t>
                  </w:r>
                </w:p>
                <w:p>
                  <w:pPr>
                    <w:pStyle w:val="null3"/>
                    <w:jc w:val="left"/>
                  </w:pPr>
                  <w:r>
                    <w:rPr>
                      <w:rFonts w:ascii="仿宋_GB2312" w:hAnsi="仿宋_GB2312" w:cs="仿宋_GB2312" w:eastAsia="仿宋_GB2312"/>
                      <w:sz w:val="28"/>
                    </w:rPr>
                    <w:t>▲5、显色指数≥90，特殊显色指数R9≥50。</w:t>
                  </w:r>
                </w:p>
                <w:p>
                  <w:pPr>
                    <w:pStyle w:val="null3"/>
                    <w:jc w:val="left"/>
                  </w:pPr>
                  <w:r>
                    <w:rPr>
                      <w:rFonts w:ascii="仿宋_GB2312" w:hAnsi="仿宋_GB2312" w:cs="仿宋_GB2312" w:eastAsia="仿宋_GB2312"/>
                      <w:sz w:val="28"/>
                    </w:rPr>
                    <w:t>6、LED黑板灯的光生物安全性为无危险类。</w:t>
                  </w:r>
                </w:p>
                <w:p>
                  <w:pPr>
                    <w:pStyle w:val="null3"/>
                    <w:jc w:val="left"/>
                  </w:pPr>
                  <w:r>
                    <w:rPr>
                      <w:rFonts w:ascii="仿宋_GB2312" w:hAnsi="仿宋_GB2312" w:cs="仿宋_GB2312" w:eastAsia="仿宋_GB2312"/>
                      <w:sz w:val="28"/>
                    </w:rPr>
                    <w:t>7、蓝光危害等级为RG0。</w:t>
                  </w:r>
                </w:p>
                <w:p>
                  <w:pPr>
                    <w:pStyle w:val="null3"/>
                    <w:jc w:val="left"/>
                  </w:pPr>
                  <w:r>
                    <w:rPr>
                      <w:rFonts w:ascii="仿宋_GB2312" w:hAnsi="仿宋_GB2312" w:cs="仿宋_GB2312" w:eastAsia="仿宋_GB2312"/>
                      <w:sz w:val="28"/>
                    </w:rPr>
                    <w:t>8、LED黑板灯电子件护眼闪烁频率要求无危害或无显著影响，且其输出光的波形的波动深度在9Hz＜f≤3125Hz；波动深度FPF≤1.5%。</w:t>
                  </w:r>
                </w:p>
                <w:p>
                  <w:pPr>
                    <w:pStyle w:val="null3"/>
                    <w:jc w:val="left"/>
                  </w:pPr>
                  <w:r>
                    <w:rPr>
                      <w:rFonts w:ascii="仿宋_GB2312" w:hAnsi="仿宋_GB2312" w:cs="仿宋_GB2312" w:eastAsia="仿宋_GB2312"/>
                      <w:sz w:val="28"/>
                    </w:rPr>
                    <w:t>9、黑板灯C0-C180面的光学结构是对称配光光束角值≥80°，C90-C270面的光学结构为非对称配光光束角值≥30°。</w:t>
                  </w:r>
                </w:p>
                <w:p>
                  <w:pPr>
                    <w:pStyle w:val="null3"/>
                    <w:jc w:val="left"/>
                  </w:pPr>
                  <w:r>
                    <w:rPr>
                      <w:rFonts w:ascii="仿宋_GB2312" w:hAnsi="仿宋_GB2312" w:cs="仿宋_GB2312" w:eastAsia="仿宋_GB2312"/>
                      <w:sz w:val="28"/>
                    </w:rPr>
                    <w:t>10、黑板灯骚扰电压应符合GB/T31275-2020（照明设备对人体电磁辐射的评价）的规定，LED教室灯人体电磁辐射测试满足20kHz-10MHz感应电流密度系数≤0.15。</w:t>
                  </w:r>
                </w:p>
                <w:p>
                  <w:pPr>
                    <w:pStyle w:val="null3"/>
                    <w:jc w:val="left"/>
                  </w:pPr>
                  <w:r>
                    <w:rPr>
                      <w:rFonts w:ascii="仿宋_GB2312" w:hAnsi="仿宋_GB2312" w:cs="仿宋_GB2312" w:eastAsia="仿宋_GB2312"/>
                      <w:sz w:val="28"/>
                    </w:rPr>
                    <w:t>11、教室灯通过频闪性能检测，且符合GB/T31831-2015、标准要求。</w:t>
                  </w:r>
                </w:p>
                <w:p>
                  <w:pPr>
                    <w:pStyle w:val="null3"/>
                    <w:jc w:val="left"/>
                  </w:pPr>
                  <w:r>
                    <w:rPr>
                      <w:rFonts w:ascii="仿宋_GB2312" w:hAnsi="仿宋_GB2312" w:cs="仿宋_GB2312" w:eastAsia="仿宋_GB2312"/>
                      <w:sz w:val="28"/>
                    </w:rPr>
                    <w:t>12、黑板灯依据GB/T33721-2017《LED灯具可靠性试验方法》中对应的方法验证，使用设计寿命≥50000小时。</w:t>
                  </w:r>
                </w:p>
                <w:p>
                  <w:pPr>
                    <w:pStyle w:val="null3"/>
                    <w:jc w:val="left"/>
                  </w:pPr>
                  <w:r>
                    <w:rPr>
                      <w:rFonts w:ascii="仿宋_GB2312" w:hAnsi="仿宋_GB2312" w:cs="仿宋_GB2312" w:eastAsia="仿宋_GB2312"/>
                      <w:sz w:val="28"/>
                    </w:rPr>
                    <w:t>13、黑板灯通过GB/T26572-2011《电子电气产品中限用物质限量要求》、GB/T26125-2011《电子电气产品六种限用物质的检测方法》通过符合性认证。</w:t>
                  </w:r>
                </w:p>
                <w:p>
                  <w:pPr>
                    <w:pStyle w:val="null3"/>
                    <w:jc w:val="left"/>
                  </w:pPr>
                  <w:r>
                    <w:rPr>
                      <w:rFonts w:ascii="仿宋_GB2312" w:hAnsi="仿宋_GB2312" w:cs="仿宋_GB2312" w:eastAsia="仿宋_GB2312"/>
                      <w:sz w:val="28"/>
                    </w:rPr>
                    <w:t>14、黑板灯须通过国家强制性CCC认证。</w:t>
                  </w:r>
                </w:p>
              </w:tc>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174</w:t>
                  </w:r>
                </w:p>
              </w:tc>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台</w:t>
                  </w:r>
                </w:p>
              </w:tc>
            </w:tr>
          </w:tbl>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标的名称：智慧黑板</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69"/>
              <w:gridCol w:w="232"/>
              <w:gridCol w:w="1815"/>
              <w:gridCol w:w="134"/>
              <w:gridCol w:w="187"/>
            </w:tblGrid>
            <w:tr>
              <w:tc>
                <w:tcPr>
                  <w:tcW w:type="dxa" w:w="16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序号</w:t>
                  </w:r>
                </w:p>
              </w:tc>
              <w:tc>
                <w:tcPr>
                  <w:tcW w:type="dxa" w:w="23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产品名称</w:t>
                  </w:r>
                </w:p>
              </w:tc>
              <w:tc>
                <w:tcPr>
                  <w:tcW w:type="dxa" w:w="181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技术参数</w:t>
                  </w:r>
                </w:p>
              </w:tc>
              <w:tc>
                <w:tcPr>
                  <w:tcW w:type="dxa" w:w="13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数量</w:t>
                  </w:r>
                </w:p>
              </w:tc>
              <w:tc>
                <w:tcPr>
                  <w:tcW w:type="dxa" w:w="18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单位</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智慧黑板</w:t>
                  </w:r>
                </w:p>
                <w:p>
                  <w:pPr>
                    <w:pStyle w:val="null3"/>
                    <w:jc w:val="center"/>
                  </w:pPr>
                  <w:r>
                    <w:rPr>
                      <w:rFonts w:ascii="仿宋_GB2312" w:hAnsi="仿宋_GB2312" w:cs="仿宋_GB2312" w:eastAsia="仿宋_GB2312"/>
                      <w:sz w:val="21"/>
                      <w:b/>
                      <w:color w:val="000000"/>
                    </w:rPr>
                    <w:t>（</w:t>
                  </w:r>
                  <w:r>
                    <w:rPr>
                      <w:rFonts w:ascii="仿宋_GB2312" w:hAnsi="仿宋_GB2312" w:cs="仿宋_GB2312" w:eastAsia="仿宋_GB2312"/>
                      <w:sz w:val="21"/>
                      <w:b/>
                      <w:color w:val="000000"/>
                    </w:rPr>
                    <w:t>核心产品</w:t>
                  </w:r>
                  <w:r>
                    <w:rPr>
                      <w:rFonts w:ascii="仿宋_GB2312" w:hAnsi="仿宋_GB2312" w:cs="仿宋_GB2312" w:eastAsia="仿宋_GB2312"/>
                      <w:sz w:val="21"/>
                      <w:b/>
                      <w:color w:val="000000"/>
                    </w:rPr>
                    <w:t>）</w:t>
                  </w:r>
                </w:p>
              </w:tc>
              <w:tc>
                <w:tcPr>
                  <w:tcW w:type="dxa" w:w="18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21"/>
                      <w:color w:val="000000"/>
                    </w:rPr>
                    <w:t>结构设计</w:t>
                  </w:r>
                  <w:r>
                    <w:br/>
                  </w:r>
                  <w:r>
                    <w:rPr>
                      <w:rFonts w:ascii="仿宋_GB2312" w:hAnsi="仿宋_GB2312" w:cs="仿宋_GB2312" w:eastAsia="仿宋_GB2312"/>
                      <w:sz w:val="21"/>
                      <w:color w:val="000000"/>
                    </w:rPr>
                    <w:t>1</w:t>
                  </w:r>
                  <w:r>
                    <w:rPr>
                      <w:rFonts w:ascii="仿宋_GB2312" w:hAnsi="仿宋_GB2312" w:cs="仿宋_GB2312" w:eastAsia="仿宋_GB2312"/>
                      <w:sz w:val="21"/>
                      <w:color w:val="000000"/>
                    </w:rPr>
                    <w:t>.整体外观尺寸：宽≥4200mm，高≥1200mm，厚≤11</w:t>
                  </w:r>
                  <w:r>
                    <w:rPr>
                      <w:rFonts w:ascii="仿宋_GB2312" w:hAnsi="仿宋_GB2312" w:cs="仿宋_GB2312" w:eastAsia="仿宋_GB2312"/>
                      <w:sz w:val="21"/>
                      <w:color w:val="000000"/>
                    </w:rPr>
                    <w:t>0</w:t>
                  </w:r>
                  <w:r>
                    <w:rPr>
                      <w:rFonts w:ascii="仿宋_GB2312" w:hAnsi="仿宋_GB2312" w:cs="仿宋_GB2312" w:eastAsia="仿宋_GB2312"/>
                      <w:sz w:val="21"/>
                      <w:color w:val="000000"/>
                    </w:rPr>
                    <w:t>mm。</w:t>
                  </w:r>
                </w:p>
                <w:p>
                  <w:pPr>
                    <w:pStyle w:val="null3"/>
                    <w:numPr>
                      <w:ilvl w:val="0"/>
                      <w:numId w:val="2"/>
                    </w:numPr>
                    <w:jc w:val="left"/>
                  </w:pPr>
                  <w:r>
                    <w:rPr>
                      <w:rFonts w:ascii="仿宋_GB2312" w:hAnsi="仿宋_GB2312" w:cs="仿宋_GB2312" w:eastAsia="仿宋_GB2312"/>
                      <w:sz w:val="21"/>
                      <w:color w:val="000000"/>
                    </w:rPr>
                    <w:t>整机屏幕采用</w:t>
                  </w:r>
                  <w:r>
                    <w:rPr>
                      <w:rFonts w:ascii="仿宋_GB2312" w:hAnsi="仿宋_GB2312" w:cs="仿宋_GB2312" w:eastAsia="仿宋_GB2312"/>
                      <w:sz w:val="21"/>
                      <w:color w:val="000000"/>
                    </w:rPr>
                    <w:t>≥86英寸液晶显示器。</w:t>
                  </w:r>
                  <w:r>
                    <w:br/>
                  </w:r>
                  <w:r>
                    <w:rPr>
                      <w:rFonts w:ascii="仿宋_GB2312" w:hAnsi="仿宋_GB2312" w:cs="仿宋_GB2312" w:eastAsia="仿宋_GB2312"/>
                      <w:sz w:val="21"/>
                      <w:color w:val="000000"/>
                    </w:rPr>
                    <w:t>3.整机两侧副屏可支持以下媒介（普通粉笔、液体粉笔、成膜笔</w:t>
                  </w:r>
                  <w:r>
                    <w:rPr>
                      <w:rFonts w:ascii="仿宋_GB2312" w:hAnsi="仿宋_GB2312" w:cs="仿宋_GB2312" w:eastAsia="仿宋_GB2312"/>
                      <w:sz w:val="21"/>
                      <w:color w:val="000000"/>
                    </w:rPr>
                    <w:t>等</w:t>
                  </w:r>
                  <w:r>
                    <w:rPr>
                      <w:rFonts w:ascii="仿宋_GB2312" w:hAnsi="仿宋_GB2312" w:cs="仿宋_GB2312" w:eastAsia="仿宋_GB2312"/>
                      <w:sz w:val="21"/>
                      <w:color w:val="000000"/>
                    </w:rPr>
                    <w:t>）进行板书书写。</w:t>
                  </w:r>
                  <w:r>
                    <w:br/>
                  </w:r>
                  <w:r>
                    <w:rPr>
                      <w:rFonts w:ascii="仿宋_GB2312" w:hAnsi="仿宋_GB2312" w:cs="仿宋_GB2312" w:eastAsia="仿宋_GB2312"/>
                      <w:sz w:val="21"/>
                      <w:color w:val="000000"/>
                    </w:rPr>
                    <w:t>4.整机设备副屏支持磁吸附功能，可以满足带有磁吸的板擦教具进行吸附在副屏上。</w:t>
                  </w:r>
                  <w:r>
                    <w:br/>
                  </w:r>
                  <w:r>
                    <w:rPr>
                      <w:rFonts w:ascii="仿宋_GB2312" w:hAnsi="仿宋_GB2312" w:cs="仿宋_GB2312" w:eastAsia="仿宋_GB2312"/>
                      <w:sz w:val="21"/>
                      <w:color w:val="000000"/>
                    </w:rPr>
                    <w:t>5.无推拉式结构，外部无任何可见内部功能模块连接线。主副屏过渡平滑，中间无单独边框阻隔。</w:t>
                  </w:r>
                  <w:r>
                    <w:br/>
                  </w:r>
                  <w:r>
                    <w:rPr>
                      <w:rFonts w:ascii="仿宋_GB2312" w:hAnsi="仿宋_GB2312" w:cs="仿宋_GB2312" w:eastAsia="仿宋_GB2312"/>
                      <w:sz w:val="21"/>
                      <w:color w:val="000000"/>
                    </w:rPr>
                    <w:t>二、</w:t>
                  </w:r>
                  <w:r>
                    <w:rPr>
                      <w:rFonts w:ascii="仿宋_GB2312" w:hAnsi="仿宋_GB2312" w:cs="仿宋_GB2312" w:eastAsia="仿宋_GB2312"/>
                      <w:sz w:val="21"/>
                      <w:color w:val="000000"/>
                    </w:rPr>
                    <w:t>显示性能</w:t>
                  </w:r>
                  <w:r>
                    <w:br/>
                  </w:r>
                  <w:r>
                    <w:rPr>
                      <w:rFonts w:ascii="仿宋_GB2312" w:hAnsi="仿宋_GB2312" w:cs="仿宋_GB2312" w:eastAsia="仿宋_GB2312"/>
                      <w:sz w:val="21"/>
                      <w:color w:val="000000"/>
                    </w:rPr>
                    <w:t>1.整机采⽤超⾼清LED液晶屏，显示分辨率3840x2160，可视角度≥17</w:t>
                  </w:r>
                  <w:r>
                    <w:rPr>
                      <w:rFonts w:ascii="仿宋_GB2312" w:hAnsi="仿宋_GB2312" w:cs="仿宋_GB2312" w:eastAsia="仿宋_GB2312"/>
                      <w:sz w:val="21"/>
                      <w:color w:val="000000"/>
                    </w:rPr>
                    <w:t>8</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2.▲整机内置全视角背光增光膜，</w:t>
                  </w:r>
                  <w:r>
                    <w:rPr>
                      <w:rFonts w:ascii="仿宋_GB2312" w:hAnsi="仿宋_GB2312" w:cs="仿宋_GB2312" w:eastAsia="仿宋_GB2312"/>
                      <w:sz w:val="21"/>
                      <w:color w:val="000000"/>
                    </w:rPr>
                    <w:t>可</w:t>
                  </w:r>
                  <w:r>
                    <w:rPr>
                      <w:rFonts w:ascii="仿宋_GB2312" w:hAnsi="仿宋_GB2312" w:cs="仿宋_GB2312" w:eastAsia="仿宋_GB2312"/>
                      <w:sz w:val="21"/>
                      <w:color w:val="000000"/>
                    </w:rPr>
                    <w:t>对背光光源进行均光，满足</w:t>
                  </w:r>
                  <w:r>
                    <w:rPr>
                      <w:rFonts w:ascii="仿宋_GB2312" w:hAnsi="仿宋_GB2312" w:cs="仿宋_GB2312" w:eastAsia="仿宋_GB2312"/>
                      <w:sz w:val="21"/>
                      <w:color w:val="000000"/>
                    </w:rPr>
                    <w:t>GB40070关于亮度可视角≥120°要求。</w:t>
                  </w:r>
                  <w:r>
                    <w:br/>
                  </w:r>
                  <w:r>
                    <w:rPr>
                      <w:rFonts w:ascii="仿宋_GB2312" w:hAnsi="仿宋_GB2312" w:cs="仿宋_GB2312" w:eastAsia="仿宋_GB2312"/>
                      <w:sz w:val="21"/>
                      <w:color w:val="000000"/>
                    </w:rPr>
                    <w:t>3</w:t>
                  </w:r>
                  <w:r>
                    <w:rPr>
                      <w:rFonts w:ascii="仿宋_GB2312" w:hAnsi="仿宋_GB2312" w:cs="仿宋_GB2312" w:eastAsia="仿宋_GB2312"/>
                      <w:sz w:val="21"/>
                      <w:color w:val="000000"/>
                    </w:rPr>
                    <w:t>.整机白场画面下亮度均匀性≥85%。</w:t>
                  </w:r>
                  <w:r>
                    <w:br/>
                  </w:r>
                  <w:r>
                    <w:rPr>
                      <w:rFonts w:ascii="仿宋_GB2312" w:hAnsi="仿宋_GB2312" w:cs="仿宋_GB2312" w:eastAsia="仿宋_GB2312"/>
                      <w:sz w:val="21"/>
                      <w:color w:val="000000"/>
                    </w:rPr>
                    <w:t>4</w:t>
                  </w:r>
                  <w:r>
                    <w:rPr>
                      <w:rFonts w:ascii="仿宋_GB2312" w:hAnsi="仿宋_GB2312" w:cs="仿宋_GB2312" w:eastAsia="仿宋_GB2312"/>
                      <w:sz w:val="21"/>
                      <w:color w:val="000000"/>
                    </w:rPr>
                    <w:t>.▲屏幕采⽤≤3mm防眩光钢化玻璃保护，莫氏硬度≥7级，透光率不低于91%，雾度≤8%。</w:t>
                  </w:r>
                  <w:r>
                    <w:br/>
                  </w:r>
                  <w:r>
                    <w:rPr>
                      <w:rFonts w:ascii="仿宋_GB2312" w:hAnsi="仿宋_GB2312" w:cs="仿宋_GB2312" w:eastAsia="仿宋_GB2312"/>
                      <w:sz w:val="21"/>
                      <w:color w:val="000000"/>
                    </w:rPr>
                    <w:t>5</w:t>
                  </w:r>
                  <w:r>
                    <w:rPr>
                      <w:rFonts w:ascii="仿宋_GB2312" w:hAnsi="仿宋_GB2312" w:cs="仿宋_GB2312" w:eastAsia="仿宋_GB2312"/>
                      <w:sz w:val="21"/>
                      <w:color w:val="000000"/>
                    </w:rPr>
                    <w:t>.</w:t>
                  </w:r>
                  <w:r>
                    <w:rPr>
                      <w:rFonts w:ascii="仿宋_GB2312" w:hAnsi="仿宋_GB2312" w:cs="仿宋_GB2312" w:eastAsia="仿宋_GB2312"/>
                      <w:sz w:val="21"/>
                      <w:color w:val="000000"/>
                    </w:rPr>
                    <w:t>屏幕</w:t>
                  </w:r>
                  <w:r>
                    <w:rPr>
                      <w:rFonts w:ascii="仿宋_GB2312" w:hAnsi="仿宋_GB2312" w:cs="仿宋_GB2312" w:eastAsia="仿宋_GB2312"/>
                      <w:sz w:val="21"/>
                      <w:color w:val="000000"/>
                    </w:rPr>
                    <w:t>灰阶等级</w:t>
                  </w:r>
                  <w:r>
                    <w:rPr>
                      <w:rFonts w:ascii="仿宋_GB2312" w:hAnsi="仿宋_GB2312" w:cs="仿宋_GB2312" w:eastAsia="仿宋_GB2312"/>
                      <w:sz w:val="21"/>
                      <w:color w:val="000000"/>
                    </w:rPr>
                    <w:t>≥256级。</w:t>
                  </w:r>
                </w:p>
                <w:p>
                  <w:pPr>
                    <w:pStyle w:val="null3"/>
                    <w:jc w:val="left"/>
                  </w:pPr>
                  <w:r>
                    <w:rPr>
                      <w:rFonts w:ascii="仿宋_GB2312" w:hAnsi="仿宋_GB2312" w:cs="仿宋_GB2312" w:eastAsia="仿宋_GB2312"/>
                      <w:sz w:val="21"/>
                      <w:color w:val="000000"/>
                    </w:rPr>
                    <w:t>6.具备多种纸张护眼模式。</w:t>
                  </w:r>
                </w:p>
                <w:p>
                  <w:pPr>
                    <w:pStyle w:val="null3"/>
                    <w:jc w:val="left"/>
                  </w:pPr>
                  <w:r>
                    <w:rPr>
                      <w:rFonts w:ascii="仿宋_GB2312" w:hAnsi="仿宋_GB2312" w:cs="仿宋_GB2312" w:eastAsia="仿宋_GB2312"/>
                      <w:sz w:val="21"/>
                      <w:color w:val="000000"/>
                    </w:rPr>
                    <w:t>7.根据显示不同内容具备自动画质调节功能。</w:t>
                  </w:r>
                </w:p>
                <w:p>
                  <w:pPr>
                    <w:pStyle w:val="null3"/>
                    <w:jc w:val="left"/>
                  </w:pPr>
                  <w:r>
                    <w:rPr>
                      <w:rFonts w:ascii="仿宋_GB2312" w:hAnsi="仿宋_GB2312" w:cs="仿宋_GB2312" w:eastAsia="仿宋_GB2312"/>
                      <w:sz w:val="21"/>
                      <w:color w:val="000000"/>
                    </w:rPr>
                    <w:t>8.防蓝光达到行业标准要求。</w:t>
                  </w:r>
                  <w:r>
                    <w:br/>
                  </w:r>
                  <w:r>
                    <w:rPr>
                      <w:rFonts w:ascii="仿宋_GB2312" w:hAnsi="仿宋_GB2312" w:cs="仿宋_GB2312" w:eastAsia="仿宋_GB2312"/>
                      <w:sz w:val="21"/>
                      <w:color w:val="000000"/>
                    </w:rPr>
                    <w:t>三、</w:t>
                  </w:r>
                  <w:r>
                    <w:rPr>
                      <w:rFonts w:ascii="仿宋_GB2312" w:hAnsi="仿宋_GB2312" w:cs="仿宋_GB2312" w:eastAsia="仿宋_GB2312"/>
                      <w:sz w:val="21"/>
                      <w:color w:val="000000"/>
                    </w:rPr>
                    <w:t>音频性能</w:t>
                  </w:r>
                  <w:r>
                    <w:br/>
                  </w:r>
                  <w:r>
                    <w:rPr>
                      <w:rFonts w:ascii="仿宋_GB2312" w:hAnsi="仿宋_GB2312" w:cs="仿宋_GB2312" w:eastAsia="仿宋_GB2312"/>
                      <w:sz w:val="21"/>
                      <w:color w:val="000000"/>
                    </w:rPr>
                    <w:t>1.▲整机内置</w:t>
                  </w:r>
                  <w:r>
                    <w:rPr>
                      <w:rFonts w:ascii="仿宋_GB2312" w:hAnsi="仿宋_GB2312" w:cs="仿宋_GB2312" w:eastAsia="仿宋_GB2312"/>
                      <w:sz w:val="21"/>
                      <w:color w:val="000000"/>
                    </w:rPr>
                    <w:t>高音、中低音扬声器</w:t>
                  </w:r>
                  <w:r>
                    <w:rPr>
                      <w:rFonts w:ascii="仿宋_GB2312" w:hAnsi="仿宋_GB2312" w:cs="仿宋_GB2312" w:eastAsia="仿宋_GB2312"/>
                      <w:sz w:val="21"/>
                      <w:color w:val="000000"/>
                    </w:rPr>
                    <w:t>，最大功率</w:t>
                  </w:r>
                  <w:r>
                    <w:rPr>
                      <w:rFonts w:ascii="仿宋_GB2312" w:hAnsi="仿宋_GB2312" w:cs="仿宋_GB2312" w:eastAsia="仿宋_GB2312"/>
                      <w:sz w:val="21"/>
                      <w:color w:val="000000"/>
                    </w:rPr>
                    <w:t>≥8</w:t>
                  </w:r>
                  <w:r>
                    <w:rPr>
                      <w:rFonts w:ascii="仿宋_GB2312" w:hAnsi="仿宋_GB2312" w:cs="仿宋_GB2312" w:eastAsia="仿宋_GB2312"/>
                      <w:sz w:val="21"/>
                      <w:color w:val="000000"/>
                    </w:rPr>
                    <w:t>0</w:t>
                  </w:r>
                  <w:r>
                    <w:rPr>
                      <w:rFonts w:ascii="仿宋_GB2312" w:hAnsi="仿宋_GB2312" w:cs="仿宋_GB2312" w:eastAsia="仿宋_GB2312"/>
                      <w:sz w:val="21"/>
                      <w:color w:val="000000"/>
                    </w:rPr>
                    <w:t>W，单个扬声器容积≥0.</w:t>
                  </w:r>
                  <w:r>
                    <w:rPr>
                      <w:rFonts w:ascii="仿宋_GB2312" w:hAnsi="仿宋_GB2312" w:cs="仿宋_GB2312" w:eastAsia="仿宋_GB2312"/>
                      <w:sz w:val="21"/>
                      <w:color w:val="000000"/>
                    </w:rPr>
                    <w:t>6</w:t>
                  </w:r>
                  <w:r>
                    <w:rPr>
                      <w:rFonts w:ascii="仿宋_GB2312" w:hAnsi="仿宋_GB2312" w:cs="仿宋_GB2312" w:eastAsia="仿宋_GB2312"/>
                      <w:sz w:val="21"/>
                      <w:color w:val="000000"/>
                    </w:rPr>
                    <w:t>L，最低谐振频率≤85Hz。</w:t>
                  </w:r>
                  <w:r>
                    <w:br/>
                  </w:r>
                  <w:r>
                    <w:rPr>
                      <w:rFonts w:ascii="仿宋_GB2312" w:hAnsi="仿宋_GB2312" w:cs="仿宋_GB2312" w:eastAsia="仿宋_GB2312"/>
                      <w:sz w:val="21"/>
                      <w:color w:val="000000"/>
                    </w:rPr>
                    <w:t>2.整机全部扬声器均采用模块化设计，无需打开背板即可单独拆卸。</w:t>
                  </w:r>
                  <w:r>
                    <w:br/>
                  </w:r>
                  <w:r>
                    <w:rPr>
                      <w:rFonts w:ascii="仿宋_GB2312" w:hAnsi="仿宋_GB2312" w:cs="仿宋_GB2312" w:eastAsia="仿宋_GB2312"/>
                      <w:sz w:val="21"/>
                      <w:color w:val="000000"/>
                    </w:rPr>
                    <w:t>3.整机内置非独立外扩展的≥8阵列麦克风，拾音角度≥180°，拾音距离≥12m。</w:t>
                  </w:r>
                  <w:r>
                    <w:br/>
                  </w:r>
                  <w:r>
                    <w:rPr>
                      <w:rFonts w:ascii="仿宋_GB2312" w:hAnsi="仿宋_GB2312" w:cs="仿宋_GB2312" w:eastAsia="仿宋_GB2312"/>
                      <w:sz w:val="21"/>
                      <w:color w:val="000000"/>
                    </w:rPr>
                    <w:t>4.▲整机内置麦克风声源定位算法，声源定位精度≤5度。</w:t>
                  </w:r>
                  <w:r>
                    <w:br/>
                  </w:r>
                  <w:r>
                    <w:rPr>
                      <w:rFonts w:ascii="仿宋_GB2312" w:hAnsi="仿宋_GB2312" w:cs="仿宋_GB2312" w:eastAsia="仿宋_GB2312"/>
                      <w:sz w:val="21"/>
                      <w:color w:val="000000"/>
                    </w:rPr>
                    <w:t>5.整机听力模式下具备AI人声语言增强功能，支持三挡强弱调节，通过AI算法提取视频/音频中的语言进行效果增强，在不增加音量的情况下提升语言清晰度，扩声系统语言传输指数（STIPA）≥0.75。</w:t>
                  </w:r>
                  <w:r>
                    <w:br/>
                  </w:r>
                  <w:r>
                    <w:rPr>
                      <w:rFonts w:ascii="仿宋_GB2312" w:hAnsi="仿宋_GB2312" w:cs="仿宋_GB2312" w:eastAsia="仿宋_GB2312"/>
                      <w:sz w:val="21"/>
                      <w:color w:val="000000"/>
                    </w:rPr>
                    <w:t>6.▲</w:t>
                  </w:r>
                  <w:r>
                    <w:rPr>
                      <w:rFonts w:ascii="仿宋_GB2312" w:hAnsi="仿宋_GB2312" w:cs="仿宋_GB2312" w:eastAsia="仿宋_GB2312"/>
                      <w:sz w:val="21"/>
                      <w:color w:val="000000"/>
                    </w:rPr>
                    <w:t>整机影院模式下具备</w:t>
                  </w:r>
                  <w:r>
                    <w:rPr>
                      <w:rFonts w:ascii="仿宋_GB2312" w:hAnsi="仿宋_GB2312" w:cs="仿宋_GB2312" w:eastAsia="仿宋_GB2312"/>
                      <w:sz w:val="21"/>
                      <w:color w:val="000000"/>
                    </w:rPr>
                    <w:t>AI环绕声功能，支持三挡强弱调节。</w:t>
                  </w:r>
                </w:p>
                <w:p>
                  <w:pPr>
                    <w:pStyle w:val="null3"/>
                    <w:numPr>
                      <w:ilvl w:val="0"/>
                      <w:numId w:val="2"/>
                    </w:numPr>
                    <w:jc w:val="left"/>
                  </w:pPr>
                  <w:r>
                    <w:rPr>
                      <w:rFonts w:ascii="仿宋_GB2312" w:hAnsi="仿宋_GB2312" w:cs="仿宋_GB2312" w:eastAsia="仿宋_GB2312"/>
                      <w:sz w:val="21"/>
                      <w:color w:val="000000"/>
                    </w:rPr>
                    <w:t>整机内置语音助手，通过整机麦克风及智能笔以唤醒词调起语音助手，支持语音交互的方式调节整机音量、亮度，语音操控打开系统已安装应用如：教学白板、浏览器、计算器、画板，语音搜索指定网页内容，支持选择网页中的视频进行播放或暂停。</w:t>
                  </w:r>
                  <w:r>
                    <w:br/>
                  </w:r>
                  <w:r>
                    <w:rPr>
                      <w:rFonts w:ascii="仿宋_GB2312" w:hAnsi="仿宋_GB2312" w:cs="仿宋_GB2312" w:eastAsia="仿宋_GB2312"/>
                      <w:sz w:val="21"/>
                      <w:color w:val="000000"/>
                    </w:rPr>
                    <w:t>四、</w:t>
                  </w:r>
                  <w:r>
                    <w:rPr>
                      <w:rFonts w:ascii="仿宋_GB2312" w:hAnsi="仿宋_GB2312" w:cs="仿宋_GB2312" w:eastAsia="仿宋_GB2312"/>
                      <w:sz w:val="21"/>
                      <w:color w:val="000000"/>
                    </w:rPr>
                    <w:t>OPS主机</w:t>
                  </w:r>
                  <w:r>
                    <w:br/>
                  </w:r>
                  <w:r>
                    <w:rPr>
                      <w:rFonts w:ascii="仿宋_GB2312" w:hAnsi="仿宋_GB2312" w:cs="仿宋_GB2312" w:eastAsia="仿宋_GB2312"/>
                      <w:sz w:val="21"/>
                      <w:color w:val="000000"/>
                    </w:rPr>
                    <w:t>1</w:t>
                  </w:r>
                  <w:r>
                    <w:rPr>
                      <w:rFonts w:ascii="仿宋_GB2312" w:hAnsi="仿宋_GB2312" w:cs="仿宋_GB2312" w:eastAsia="仿宋_GB2312"/>
                      <w:sz w:val="21"/>
                      <w:color w:val="000000"/>
                    </w:rPr>
                    <w:t>.搭载CPU</w:t>
                  </w:r>
                  <w:r>
                    <w:rPr>
                      <w:rFonts w:ascii="仿宋_GB2312" w:hAnsi="仿宋_GB2312" w:cs="仿宋_GB2312" w:eastAsia="仿宋_GB2312"/>
                      <w:sz w:val="21"/>
                      <w:color w:val="000000"/>
                    </w:rPr>
                    <w:t>处理器</w:t>
                  </w:r>
                  <w:r>
                    <w:rPr>
                      <w:rFonts w:ascii="仿宋_GB2312" w:hAnsi="仿宋_GB2312" w:cs="仿宋_GB2312" w:eastAsia="仿宋_GB2312"/>
                      <w:sz w:val="21"/>
                      <w:color w:val="000000"/>
                    </w:rPr>
                    <w:t>≥8核心16线程，主频≥2.8GHz</w:t>
                  </w:r>
                  <w:r>
                    <w:rPr>
                      <w:rFonts w:ascii="仿宋_GB2312" w:hAnsi="仿宋_GB2312" w:cs="仿宋_GB2312" w:eastAsia="仿宋_GB2312"/>
                      <w:sz w:val="21"/>
                      <w:color w:val="000000"/>
                    </w:rPr>
                    <w:t>。内存：</w:t>
                  </w:r>
                  <w:r>
                    <w:rPr>
                      <w:rFonts w:ascii="仿宋_GB2312" w:hAnsi="仿宋_GB2312" w:cs="仿宋_GB2312" w:eastAsia="仿宋_GB2312"/>
                      <w:sz w:val="21"/>
                      <w:color w:val="000000"/>
                    </w:rPr>
                    <w:t>8</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GB DDR4笔记本内存或以上配置。硬盘：256 GB SSD固态硬盘或以上配置。</w:t>
                  </w:r>
                </w:p>
                <w:p>
                  <w:pPr>
                    <w:pStyle w:val="null3"/>
                    <w:jc w:val="left"/>
                  </w:pPr>
                  <w:r>
                    <w:rPr>
                      <w:rFonts w:ascii="仿宋_GB2312" w:hAnsi="仿宋_GB2312" w:cs="仿宋_GB2312" w:eastAsia="仿宋_GB2312"/>
                      <w:sz w:val="21"/>
                      <w:color w:val="000000"/>
                    </w:rPr>
                    <w:t>2.和整机链接针脚数≤55Pin。</w:t>
                  </w:r>
                </w:p>
                <w:p>
                  <w:pPr>
                    <w:pStyle w:val="null3"/>
                    <w:numPr>
                      <w:ilvl w:val="0"/>
                      <w:numId w:val="1"/>
                    </w:numPr>
                    <w:jc w:val="left"/>
                  </w:pPr>
                  <w:r>
                    <w:rPr>
                      <w:rFonts w:ascii="仿宋_GB2312" w:hAnsi="仿宋_GB2312" w:cs="仿宋_GB2312" w:eastAsia="仿宋_GB2312"/>
                      <w:sz w:val="21"/>
                      <w:color w:val="000000"/>
                    </w:rPr>
                    <w:t>嵌入式备份系统</w:t>
                  </w:r>
                </w:p>
                <w:p>
                  <w:pPr>
                    <w:pStyle w:val="null3"/>
                    <w:numPr>
                      <w:ilvl w:val="0"/>
                      <w:numId w:val="2"/>
                    </w:numPr>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整机采用</w:t>
                  </w:r>
                  <w:r>
                    <w:rPr>
                      <w:rFonts w:ascii="仿宋_GB2312" w:hAnsi="仿宋_GB2312" w:cs="仿宋_GB2312" w:eastAsia="仿宋_GB2312"/>
                      <w:sz w:val="21"/>
                      <w:color w:val="000000"/>
                    </w:rPr>
                    <w:t>≥12核国产化嵌入式芯片，CPU≥8核，整机嵌入式系统版本≥Android 15，主频≥1.6GHz，内存≥2GB，DDR最大速率≥2666MT/S，存储空间≥32GB。</w:t>
                  </w:r>
                </w:p>
                <w:p>
                  <w:pPr>
                    <w:pStyle w:val="null3"/>
                    <w:numPr>
                      <w:ilvl w:val="0"/>
                      <w:numId w:val="2"/>
                    </w:numPr>
                    <w:jc w:val="left"/>
                  </w:pPr>
                  <w:r>
                    <w:rPr>
                      <w:rFonts w:ascii="仿宋_GB2312" w:hAnsi="仿宋_GB2312" w:cs="仿宋_GB2312" w:eastAsia="仿宋_GB2312"/>
                      <w:sz w:val="21"/>
                      <w:color w:val="000000"/>
                    </w:rPr>
                    <w:t>整机</w:t>
                  </w:r>
                  <w:r>
                    <w:rPr>
                      <w:rFonts w:ascii="仿宋_GB2312" w:hAnsi="仿宋_GB2312" w:cs="仿宋_GB2312" w:eastAsia="仿宋_GB2312"/>
                      <w:sz w:val="21"/>
                      <w:color w:val="000000"/>
                    </w:rPr>
                    <w:t>CPU芯片，WIFI与蓝牙芯片、摄像头图像处理芯片、均采用国产自主芯片。</w:t>
                  </w:r>
                </w:p>
                <w:p>
                  <w:pPr>
                    <w:pStyle w:val="null3"/>
                    <w:numPr>
                      <w:ilvl w:val="0"/>
                      <w:numId w:val="1"/>
                    </w:numPr>
                    <w:jc w:val="left"/>
                  </w:pPr>
                  <w:r>
                    <w:rPr>
                      <w:rFonts w:ascii="仿宋_GB2312" w:hAnsi="仿宋_GB2312" w:cs="仿宋_GB2312" w:eastAsia="仿宋_GB2312"/>
                      <w:sz w:val="21"/>
                      <w:color w:val="000000"/>
                    </w:rPr>
                    <w:t>按键和接口</w:t>
                  </w:r>
                </w:p>
                <w:p>
                  <w:pPr>
                    <w:pStyle w:val="null3"/>
                    <w:numPr>
                      <w:ilvl w:val="0"/>
                      <w:numId w:val="2"/>
                    </w:numPr>
                    <w:jc w:val="left"/>
                  </w:pPr>
                  <w:r>
                    <w:rPr>
                      <w:rFonts w:ascii="仿宋_GB2312" w:hAnsi="仿宋_GB2312" w:cs="仿宋_GB2312" w:eastAsia="仿宋_GB2312"/>
                      <w:sz w:val="21"/>
                      <w:color w:val="000000"/>
                    </w:rPr>
                    <w:t>设备按键采用简洁化设计，前置接口与按键在设备同一侧。</w:t>
                  </w:r>
                </w:p>
                <w:p>
                  <w:pPr>
                    <w:pStyle w:val="null3"/>
                    <w:numPr>
                      <w:ilvl w:val="0"/>
                      <w:numId w:val="2"/>
                    </w:numPr>
                    <w:jc w:val="left"/>
                  </w:pPr>
                  <w:r>
                    <w:rPr>
                      <w:rFonts w:ascii="仿宋_GB2312" w:hAnsi="仿宋_GB2312" w:cs="仿宋_GB2312" w:eastAsia="仿宋_GB2312"/>
                      <w:sz w:val="21"/>
                      <w:color w:val="000000"/>
                    </w:rPr>
                    <w:t>整机前置按键支持自定义设置，可通过自定义设置实现前置面板功能按键一键启用任一全局小工具（批注、截屏、计时、降半屏、放大镜、倒数日、日历</w:t>
                  </w:r>
                  <w:r>
                    <w:rPr>
                      <w:rFonts w:ascii="仿宋_GB2312" w:hAnsi="仿宋_GB2312" w:cs="仿宋_GB2312" w:eastAsia="仿宋_GB2312"/>
                      <w:sz w:val="21"/>
                      <w:color w:val="000000"/>
                    </w:rPr>
                    <w:t>等</w:t>
                  </w:r>
                  <w:r>
                    <w:rPr>
                      <w:rFonts w:ascii="仿宋_GB2312" w:hAnsi="仿宋_GB2312" w:cs="仿宋_GB2312" w:eastAsia="仿宋_GB2312"/>
                      <w:sz w:val="21"/>
                      <w:color w:val="000000"/>
                    </w:rPr>
                    <w:t>）。</w:t>
                  </w:r>
                </w:p>
                <w:p>
                  <w:pPr>
                    <w:pStyle w:val="null3"/>
                    <w:numPr>
                      <w:ilvl w:val="0"/>
                      <w:numId w:val="2"/>
                    </w:numPr>
                    <w:jc w:val="left"/>
                  </w:pPr>
                  <w:r>
                    <w:rPr>
                      <w:rFonts w:ascii="仿宋_GB2312" w:hAnsi="仿宋_GB2312" w:cs="仿宋_GB2312" w:eastAsia="仿宋_GB2312"/>
                      <w:sz w:val="21"/>
                      <w:color w:val="000000"/>
                    </w:rPr>
                    <w:t>具备一键启动录屏功能。</w:t>
                  </w:r>
                </w:p>
                <w:p>
                  <w:pPr>
                    <w:pStyle w:val="null3"/>
                    <w:numPr>
                      <w:ilvl w:val="0"/>
                      <w:numId w:val="2"/>
                    </w:numPr>
                    <w:jc w:val="left"/>
                  </w:pPr>
                  <w:r>
                    <w:rPr>
                      <w:rFonts w:ascii="仿宋_GB2312" w:hAnsi="仿宋_GB2312" w:cs="仿宋_GB2312" w:eastAsia="仿宋_GB2312"/>
                      <w:sz w:val="21"/>
                      <w:color w:val="000000"/>
                    </w:rPr>
                    <w:t>具备一键开启经典护眼模式。</w:t>
                  </w:r>
                </w:p>
                <w:p>
                  <w:pPr>
                    <w:pStyle w:val="null3"/>
                    <w:numPr>
                      <w:ilvl w:val="0"/>
                      <w:numId w:val="2"/>
                    </w:numPr>
                    <w:jc w:val="left"/>
                  </w:pPr>
                  <w:r>
                    <w:rPr>
                      <w:rFonts w:ascii="仿宋_GB2312" w:hAnsi="仿宋_GB2312" w:cs="仿宋_GB2312" w:eastAsia="仿宋_GB2312"/>
                      <w:sz w:val="21"/>
                      <w:color w:val="000000"/>
                    </w:rPr>
                    <w:t>整机具备</w:t>
                  </w:r>
                  <w:r>
                    <w:rPr>
                      <w:rFonts w:ascii="仿宋_GB2312" w:hAnsi="仿宋_GB2312" w:cs="仿宋_GB2312" w:eastAsia="仿宋_GB2312"/>
                      <w:sz w:val="21"/>
                      <w:color w:val="000000"/>
                    </w:rPr>
                    <w:t>HDMI、USB、TypeC等接口。</w:t>
                  </w:r>
                </w:p>
                <w:p>
                  <w:pPr>
                    <w:pStyle w:val="null3"/>
                    <w:numPr>
                      <w:ilvl w:val="0"/>
                      <w:numId w:val="1"/>
                    </w:numPr>
                    <w:jc w:val="left"/>
                  </w:pPr>
                  <w:r>
                    <w:rPr>
                      <w:rFonts w:ascii="仿宋_GB2312" w:hAnsi="仿宋_GB2312" w:cs="仿宋_GB2312" w:eastAsia="仿宋_GB2312"/>
                      <w:sz w:val="21"/>
                      <w:color w:val="000000"/>
                    </w:rPr>
                    <w:t>无线和蓝牙</w:t>
                  </w:r>
                </w:p>
                <w:p>
                  <w:pPr>
                    <w:pStyle w:val="null3"/>
                    <w:numPr>
                      <w:ilvl w:val="0"/>
                      <w:numId w:val="2"/>
                    </w:numPr>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整机内置无线模块和蓝牙模块，采用独立模块化设计，无需拆卸整机后壳即可独立拆装。</w:t>
                  </w:r>
                </w:p>
                <w:p>
                  <w:pPr>
                    <w:pStyle w:val="null3"/>
                    <w:numPr>
                      <w:ilvl w:val="0"/>
                      <w:numId w:val="2"/>
                    </w:numPr>
                    <w:jc w:val="left"/>
                  </w:pPr>
                  <w:r>
                    <w:rPr>
                      <w:rFonts w:ascii="仿宋_GB2312" w:hAnsi="仿宋_GB2312" w:cs="仿宋_GB2312" w:eastAsia="仿宋_GB2312"/>
                      <w:sz w:val="21"/>
                      <w:color w:val="000000"/>
                    </w:rPr>
                    <w:t>整机</w:t>
                  </w:r>
                  <w:r>
                    <w:rPr>
                      <w:rFonts w:ascii="仿宋_GB2312" w:hAnsi="仿宋_GB2312" w:cs="仿宋_GB2312" w:eastAsia="仿宋_GB2312"/>
                      <w:sz w:val="21"/>
                      <w:color w:val="000000"/>
                    </w:rPr>
                    <w:t>PC端支持主动发现蓝牙外设从而连接，支持连接外部蓝牙音箱</w:t>
                  </w:r>
                  <w:r>
                    <w:rPr>
                      <w:rFonts w:ascii="仿宋_GB2312" w:hAnsi="仿宋_GB2312" w:cs="仿宋_GB2312" w:eastAsia="仿宋_GB2312"/>
                      <w:sz w:val="21"/>
                      <w:color w:val="000000"/>
                    </w:rPr>
                    <w:t>等</w:t>
                  </w:r>
                  <w:r>
                    <w:rPr>
                      <w:rFonts w:ascii="仿宋_GB2312" w:hAnsi="仿宋_GB2312" w:cs="仿宋_GB2312" w:eastAsia="仿宋_GB2312"/>
                      <w:sz w:val="21"/>
                      <w:color w:val="000000"/>
                    </w:rPr>
                    <w:t>。</w:t>
                  </w:r>
                </w:p>
                <w:p>
                  <w:pPr>
                    <w:pStyle w:val="null3"/>
                    <w:numPr>
                      <w:ilvl w:val="0"/>
                      <w:numId w:val="2"/>
                    </w:numPr>
                    <w:jc w:val="left"/>
                  </w:pPr>
                  <w:r>
                    <w:rPr>
                      <w:rFonts w:ascii="仿宋_GB2312" w:hAnsi="仿宋_GB2312" w:cs="仿宋_GB2312" w:eastAsia="仿宋_GB2312"/>
                      <w:sz w:val="21"/>
                      <w:color w:val="000000"/>
                    </w:rPr>
                    <w:t>整机支持发出超声波信号，</w:t>
                  </w:r>
                  <w:r>
                    <w:rPr>
                      <w:rFonts w:ascii="仿宋_GB2312" w:hAnsi="仿宋_GB2312" w:cs="仿宋_GB2312" w:eastAsia="仿宋_GB2312"/>
                      <w:sz w:val="21"/>
                      <w:color w:val="000000"/>
                    </w:rPr>
                    <w:t>用于连接附近手机或笔记本等外设并实现投屏功能</w:t>
                  </w:r>
                  <w:r>
                    <w:rPr>
                      <w:rFonts w:ascii="仿宋_GB2312" w:hAnsi="仿宋_GB2312" w:cs="仿宋_GB2312" w:eastAsia="仿宋_GB2312"/>
                      <w:sz w:val="21"/>
                      <w:color w:val="000000"/>
                    </w:rPr>
                    <w:t>。</w:t>
                  </w:r>
                </w:p>
                <w:p>
                  <w:pPr>
                    <w:pStyle w:val="null3"/>
                    <w:numPr>
                      <w:ilvl w:val="0"/>
                      <w:numId w:val="2"/>
                    </w:numPr>
                    <w:jc w:val="left"/>
                  </w:pPr>
                  <w:r>
                    <w:rPr>
                      <w:rFonts w:ascii="仿宋_GB2312" w:hAnsi="仿宋_GB2312" w:cs="仿宋_GB2312" w:eastAsia="仿宋_GB2312"/>
                      <w:sz w:val="21"/>
                      <w:color w:val="000000"/>
                    </w:rPr>
                    <w:t>内置无线传屏模块。</w:t>
                  </w:r>
                </w:p>
                <w:p>
                  <w:pPr>
                    <w:pStyle w:val="null3"/>
                    <w:numPr>
                      <w:ilvl w:val="0"/>
                      <w:numId w:val="2"/>
                    </w:numPr>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整机</w:t>
                  </w:r>
                  <w:r>
                    <w:rPr>
                      <w:rFonts w:ascii="仿宋_GB2312" w:hAnsi="仿宋_GB2312" w:cs="仿宋_GB2312" w:eastAsia="仿宋_GB2312"/>
                      <w:sz w:val="21"/>
                      <w:color w:val="000000"/>
                    </w:rPr>
                    <w:t>OPS主机</w:t>
                  </w:r>
                  <w:r>
                    <w:rPr>
                      <w:rFonts w:ascii="仿宋_GB2312" w:hAnsi="仿宋_GB2312" w:cs="仿宋_GB2312" w:eastAsia="仿宋_GB2312"/>
                      <w:sz w:val="21"/>
                      <w:color w:val="000000"/>
                    </w:rPr>
                    <w:t>通道</w:t>
                  </w:r>
                  <w:r>
                    <w:rPr>
                      <w:rFonts w:ascii="仿宋_GB2312" w:hAnsi="仿宋_GB2312" w:cs="仿宋_GB2312" w:eastAsia="仿宋_GB2312"/>
                      <w:sz w:val="21"/>
                      <w:color w:val="000000"/>
                    </w:rPr>
                    <w:t>和</w:t>
                  </w:r>
                  <w:r>
                    <w:rPr>
                      <w:rFonts w:ascii="仿宋_GB2312" w:hAnsi="仿宋_GB2312" w:cs="仿宋_GB2312" w:eastAsia="仿宋_GB2312"/>
                      <w:sz w:val="21"/>
                      <w:color w:val="000000"/>
                    </w:rPr>
                    <w:t>安卓</w:t>
                  </w:r>
                  <w:r>
                    <w:rPr>
                      <w:rFonts w:ascii="仿宋_GB2312" w:hAnsi="仿宋_GB2312" w:cs="仿宋_GB2312" w:eastAsia="仿宋_GB2312"/>
                      <w:sz w:val="21"/>
                      <w:color w:val="000000"/>
                    </w:rPr>
                    <w:t>备份</w:t>
                  </w:r>
                  <w:r>
                    <w:rPr>
                      <w:rFonts w:ascii="仿宋_GB2312" w:hAnsi="仿宋_GB2312" w:cs="仿宋_GB2312" w:eastAsia="仿宋_GB2312"/>
                      <w:sz w:val="21"/>
                      <w:color w:val="000000"/>
                    </w:rPr>
                    <w:t>通道各具备</w:t>
                  </w:r>
                  <w:r>
                    <w:rPr>
                      <w:rFonts w:ascii="仿宋_GB2312" w:hAnsi="仿宋_GB2312" w:cs="仿宋_GB2312" w:eastAsia="仿宋_GB2312"/>
                      <w:sz w:val="21"/>
                      <w:color w:val="000000"/>
                    </w:rPr>
                    <w:t>≥1个</w:t>
                  </w:r>
                  <w:r>
                    <w:rPr>
                      <w:rFonts w:ascii="仿宋_GB2312" w:hAnsi="仿宋_GB2312" w:cs="仿宋_GB2312" w:eastAsia="仿宋_GB2312"/>
                      <w:sz w:val="21"/>
                      <w:color w:val="000000"/>
                    </w:rPr>
                    <w:t>WiFi6无线芯片</w:t>
                  </w:r>
                  <w:r>
                    <w:rPr>
                      <w:rFonts w:ascii="仿宋_GB2312" w:hAnsi="仿宋_GB2312" w:cs="仿宋_GB2312" w:eastAsia="仿宋_GB2312"/>
                      <w:sz w:val="21"/>
                      <w:color w:val="000000"/>
                    </w:rPr>
                    <w:t>。</w:t>
                  </w:r>
                </w:p>
                <w:p>
                  <w:pPr>
                    <w:pStyle w:val="null3"/>
                    <w:numPr>
                      <w:ilvl w:val="0"/>
                      <w:numId w:val="2"/>
                    </w:numPr>
                    <w:jc w:val="left"/>
                  </w:pPr>
                  <w:r>
                    <w:rPr>
                      <w:rFonts w:ascii="仿宋_GB2312" w:hAnsi="仿宋_GB2312" w:cs="仿宋_GB2312" w:eastAsia="仿宋_GB2312"/>
                      <w:sz w:val="21"/>
                      <w:color w:val="000000"/>
                    </w:rPr>
                    <w:t>整机配套教学应用</w:t>
                  </w:r>
                  <w:r>
                    <w:rPr>
                      <w:rFonts w:ascii="仿宋_GB2312" w:hAnsi="仿宋_GB2312" w:cs="仿宋_GB2312" w:eastAsia="仿宋_GB2312"/>
                      <w:sz w:val="21"/>
                      <w:color w:val="000000"/>
                    </w:rPr>
                    <w:t>APP可通过wifi直连技术，近场发现附近教学大屏设备，无需扫码、账号密码输入步骤，即可直接连接并登录教学大屏设备，基于统一身份认证机制可实现其他教学软件免登录操作。</w:t>
                  </w:r>
                </w:p>
                <w:p>
                  <w:pPr>
                    <w:pStyle w:val="null3"/>
                    <w:jc w:val="left"/>
                  </w:pPr>
                  <w:r>
                    <w:rPr>
                      <w:rFonts w:ascii="仿宋_GB2312" w:hAnsi="仿宋_GB2312" w:cs="仿宋_GB2312" w:eastAsia="仿宋_GB2312"/>
                      <w:sz w:val="21"/>
                      <w:color w:val="000000"/>
                    </w:rPr>
                    <w:t>八、内置摄像头</w:t>
                  </w:r>
                </w:p>
                <w:p>
                  <w:pPr>
                    <w:pStyle w:val="null3"/>
                    <w:jc w:val="left"/>
                  </w:pPr>
                  <w:r>
                    <w:rPr>
                      <w:rFonts w:ascii="仿宋_GB2312" w:hAnsi="仿宋_GB2312" w:cs="仿宋_GB2312" w:eastAsia="仿宋_GB2312"/>
                      <w:sz w:val="21"/>
                      <w:color w:val="000000"/>
                    </w:rPr>
                    <w:t>1.整机内置摄像头，像素≥5000万。</w:t>
                  </w:r>
                </w:p>
                <w:p>
                  <w:pPr>
                    <w:pStyle w:val="null3"/>
                    <w:jc w:val="left"/>
                  </w:pPr>
                  <w:r>
                    <w:rPr>
                      <w:rFonts w:ascii="仿宋_GB2312" w:hAnsi="仿宋_GB2312" w:cs="仿宋_GB2312" w:eastAsia="仿宋_GB2312"/>
                      <w:sz w:val="21"/>
                      <w:color w:val="000000"/>
                    </w:rPr>
                    <w:t>2.摄像头具备人脸识别、远程巡课等功能。</w:t>
                  </w:r>
                </w:p>
                <w:p>
                  <w:pPr>
                    <w:pStyle w:val="null3"/>
                    <w:jc w:val="left"/>
                  </w:pPr>
                  <w:r>
                    <w:rPr>
                      <w:rFonts w:ascii="仿宋_GB2312" w:hAnsi="仿宋_GB2312" w:cs="仿宋_GB2312" w:eastAsia="仿宋_GB2312"/>
                      <w:sz w:val="21"/>
                      <w:color w:val="000000"/>
                    </w:rPr>
                    <w:t>3.整机内置智能体AI图像生成功能 ，支持大屏开展职业主题对话交互，大屏可同步生成对应职业形象。</w:t>
                  </w:r>
                </w:p>
                <w:p>
                  <w:pPr>
                    <w:pStyle w:val="null3"/>
                    <w:jc w:val="left"/>
                  </w:pPr>
                  <w:r>
                    <w:rPr>
                      <w:rFonts w:ascii="仿宋_GB2312" w:hAnsi="仿宋_GB2312" w:cs="仿宋_GB2312" w:eastAsia="仿宋_GB2312"/>
                      <w:sz w:val="21"/>
                      <w:color w:val="000000"/>
                    </w:rPr>
                    <w:t>4.整机具备视力检测功能，测试完成后可直接生成视力检测档案。</w:t>
                  </w:r>
                </w:p>
                <w:p>
                  <w:pPr>
                    <w:pStyle w:val="null3"/>
                    <w:jc w:val="left"/>
                  </w:pPr>
                  <w:r>
                    <w:rPr>
                      <w:rFonts w:ascii="仿宋_GB2312" w:hAnsi="仿宋_GB2312" w:cs="仿宋_GB2312" w:eastAsia="仿宋_GB2312"/>
                      <w:sz w:val="21"/>
                      <w:color w:val="000000"/>
                    </w:rPr>
                    <w:t>九、触控性能</w:t>
                  </w:r>
                </w:p>
                <w:p>
                  <w:pPr>
                    <w:pStyle w:val="null3"/>
                    <w:jc w:val="left"/>
                  </w:pPr>
                  <w:r>
                    <w:rPr>
                      <w:rFonts w:ascii="仿宋_GB2312" w:hAnsi="仿宋_GB2312" w:cs="仿宋_GB2312" w:eastAsia="仿宋_GB2312"/>
                      <w:sz w:val="21"/>
                      <w:color w:val="000000"/>
                    </w:rPr>
                    <w:t>1.整机支持≥20点触控。</w:t>
                  </w:r>
                </w:p>
                <w:p>
                  <w:pPr>
                    <w:pStyle w:val="null3"/>
                    <w:jc w:val="left"/>
                  </w:pPr>
                  <w:r>
                    <w:rPr>
                      <w:rFonts w:ascii="仿宋_GB2312" w:hAnsi="仿宋_GB2312" w:cs="仿宋_GB2312" w:eastAsia="仿宋_GB2312"/>
                      <w:sz w:val="21"/>
                      <w:color w:val="000000"/>
                    </w:rPr>
                    <w:t>2.触摸分辨率32768×32768。</w:t>
                  </w:r>
                </w:p>
                <w:p>
                  <w:pPr>
                    <w:pStyle w:val="null3"/>
                    <w:jc w:val="left"/>
                  </w:pPr>
                  <w:r>
                    <w:rPr>
                      <w:rFonts w:ascii="仿宋_GB2312" w:hAnsi="仿宋_GB2312" w:cs="仿宋_GB2312" w:eastAsia="仿宋_GB2312"/>
                      <w:sz w:val="21"/>
                      <w:color w:val="000000"/>
                    </w:rPr>
                    <w:t>3.触摸响应≤4ms。</w:t>
                  </w:r>
                </w:p>
                <w:p>
                  <w:pPr>
                    <w:pStyle w:val="null3"/>
                    <w:jc w:val="left"/>
                  </w:pPr>
                  <w:r>
                    <w:rPr>
                      <w:rFonts w:ascii="仿宋_GB2312" w:hAnsi="仿宋_GB2312" w:cs="仿宋_GB2312" w:eastAsia="仿宋_GB2312"/>
                      <w:sz w:val="21"/>
                      <w:color w:val="000000"/>
                    </w:rPr>
                    <w:t>4.支持智能板擦功能，系统可根据触控物体的形状自动识别出实物板擦。</w:t>
                  </w:r>
                </w:p>
                <w:p>
                  <w:pPr>
                    <w:pStyle w:val="null3"/>
                    <w:jc w:val="left"/>
                  </w:pPr>
                  <w:r>
                    <w:rPr>
                      <w:rFonts w:ascii="仿宋_GB2312" w:hAnsi="仿宋_GB2312" w:cs="仿宋_GB2312" w:eastAsia="仿宋_GB2312"/>
                      <w:sz w:val="21"/>
                      <w:color w:val="000000"/>
                    </w:rPr>
                    <w:t>3.触摸屏具有防遮挡功能，触摸接收器在单点或多点遮挡后仍能正常书写。</w:t>
                  </w:r>
                </w:p>
                <w:p>
                  <w:pPr>
                    <w:pStyle w:val="null3"/>
                    <w:jc w:val="left"/>
                  </w:pPr>
                  <w:r>
                    <w:rPr>
                      <w:rFonts w:ascii="仿宋_GB2312" w:hAnsi="仿宋_GB2312" w:cs="仿宋_GB2312" w:eastAsia="仿宋_GB2312"/>
                      <w:sz w:val="21"/>
                      <w:color w:val="000000"/>
                    </w:rPr>
                    <w:t>4.触摸精度≤1.6mm。</w:t>
                  </w:r>
                </w:p>
                <w:p>
                  <w:pPr>
                    <w:pStyle w:val="null3"/>
                    <w:jc w:val="left"/>
                  </w:pPr>
                  <w:r>
                    <w:rPr>
                      <w:rFonts w:ascii="仿宋_GB2312" w:hAnsi="仿宋_GB2312" w:cs="仿宋_GB2312" w:eastAsia="仿宋_GB2312"/>
                      <w:sz w:val="21"/>
                      <w:color w:val="000000"/>
                    </w:rPr>
                    <w:t>十、白板软件</w:t>
                  </w:r>
                </w:p>
                <w:p>
                  <w:pPr>
                    <w:pStyle w:val="null3"/>
                    <w:jc w:val="left"/>
                  </w:pPr>
                  <w:r>
                    <w:rPr>
                      <w:rFonts w:ascii="仿宋_GB2312" w:hAnsi="仿宋_GB2312" w:cs="仿宋_GB2312" w:eastAsia="仿宋_GB2312"/>
                      <w:sz w:val="21"/>
                      <w:color w:val="000000"/>
                    </w:rPr>
                    <w:t>1．提供白板软件手机移动版。</w:t>
                  </w:r>
                </w:p>
                <w:p>
                  <w:pPr>
                    <w:pStyle w:val="null3"/>
                    <w:jc w:val="left"/>
                  </w:pPr>
                  <w:r>
                    <w:rPr>
                      <w:rFonts w:ascii="仿宋_GB2312" w:hAnsi="仿宋_GB2312" w:cs="仿宋_GB2312" w:eastAsia="仿宋_GB2312"/>
                      <w:sz w:val="21"/>
                      <w:color w:val="000000"/>
                    </w:rPr>
                    <w:t>2．可实现语音直播、课件同步、互动工具等远程教学功能。</w:t>
                  </w:r>
                </w:p>
                <w:p>
                  <w:pPr>
                    <w:pStyle w:val="null3"/>
                    <w:jc w:val="left"/>
                  </w:pPr>
                  <w:r>
                    <w:rPr>
                      <w:rFonts w:ascii="仿宋_GB2312" w:hAnsi="仿宋_GB2312" w:cs="仿宋_GB2312" w:eastAsia="仿宋_GB2312"/>
                      <w:sz w:val="21"/>
                      <w:color w:val="000000"/>
                    </w:rPr>
                    <w:t>3．通过扫描生成二维码的方式用于远程在线教学。</w:t>
                  </w:r>
                </w:p>
                <w:p>
                  <w:pPr>
                    <w:pStyle w:val="null3"/>
                    <w:jc w:val="left"/>
                  </w:pPr>
                  <w:r>
                    <w:rPr>
                      <w:rFonts w:ascii="仿宋_GB2312" w:hAnsi="仿宋_GB2312" w:cs="仿宋_GB2312" w:eastAsia="仿宋_GB2312"/>
                      <w:sz w:val="21"/>
                      <w:color w:val="000000"/>
                    </w:rPr>
                    <w:t>4．教学课件支持分享至学校校本资源库，校本资源库支持按学科、学段进行快速查找，同时支持关键词精准检索。</w:t>
                  </w:r>
                </w:p>
                <w:p>
                  <w:pPr>
                    <w:pStyle w:val="null3"/>
                    <w:jc w:val="left"/>
                  </w:pPr>
                  <w:r>
                    <w:rPr>
                      <w:rFonts w:ascii="仿宋_GB2312" w:hAnsi="仿宋_GB2312" w:cs="仿宋_GB2312" w:eastAsia="仿宋_GB2312"/>
                      <w:sz w:val="21"/>
                      <w:color w:val="000000"/>
                    </w:rPr>
                    <w:t>5．▲为使用者提供可扩展至不小于15T的个人云空间。</w:t>
                  </w:r>
                </w:p>
                <w:p>
                  <w:pPr>
                    <w:pStyle w:val="null3"/>
                    <w:jc w:val="left"/>
                  </w:pPr>
                  <w:r>
                    <w:rPr>
                      <w:rFonts w:ascii="仿宋_GB2312" w:hAnsi="仿宋_GB2312" w:cs="仿宋_GB2312" w:eastAsia="仿宋_GB2312"/>
                      <w:sz w:val="21"/>
                      <w:color w:val="000000"/>
                    </w:rPr>
                    <w:t xml:space="preserve">6．备授课平台对接教学数据管理平台，可将教学平台的教案关联至教师课件，支持课件同时关联多份教案，关联后教师可在备课界面调用查看教案，便于教研工作开展。     </w:t>
                  </w:r>
                </w:p>
                <w:p>
                  <w:pPr>
                    <w:pStyle w:val="null3"/>
                    <w:jc w:val="left"/>
                  </w:pPr>
                  <w:r>
                    <w:rPr>
                      <w:rFonts w:ascii="仿宋_GB2312" w:hAnsi="仿宋_GB2312" w:cs="仿宋_GB2312" w:eastAsia="仿宋_GB2312"/>
                      <w:sz w:val="21"/>
                      <w:color w:val="000000"/>
                    </w:rPr>
                    <w:t>7．课堂互动游戏支持云储存，编辑完成的活动可一键存储至教师云空间，便于在不同课件中直接调用。</w:t>
                  </w:r>
                </w:p>
                <w:p>
                  <w:pPr>
                    <w:pStyle w:val="null3"/>
                    <w:jc w:val="left"/>
                  </w:pPr>
                  <w:r>
                    <w:rPr>
                      <w:rFonts w:ascii="仿宋_GB2312" w:hAnsi="仿宋_GB2312" w:cs="仿宋_GB2312" w:eastAsia="仿宋_GB2312"/>
                      <w:sz w:val="21"/>
                      <w:color w:val="000000"/>
                    </w:rPr>
                    <w:t>8．提供多种互动图表，如柱状图、扇形图、折线图等，每类图表预置不少于4种样式。</w:t>
                  </w:r>
                </w:p>
                <w:p>
                  <w:pPr>
                    <w:pStyle w:val="null3"/>
                    <w:jc w:val="left"/>
                  </w:pPr>
                  <w:r>
                    <w:rPr>
                      <w:rFonts w:ascii="仿宋_GB2312" w:hAnsi="仿宋_GB2312" w:cs="仿宋_GB2312" w:eastAsia="仿宋_GB2312"/>
                      <w:sz w:val="21"/>
                      <w:color w:val="000000"/>
                    </w:rPr>
                    <w:t>9．提供多种翻页按键布局，翻页按键可分布于屏幕单侧或左右两侧，支持上下翻页、课件页面预览及页面非线性跳转。</w:t>
                  </w:r>
                </w:p>
                <w:p>
                  <w:pPr>
                    <w:pStyle w:val="null3"/>
                    <w:jc w:val="left"/>
                  </w:pPr>
                  <w:r>
                    <w:rPr>
                      <w:rFonts w:ascii="仿宋_GB2312" w:hAnsi="仿宋_GB2312" w:cs="仿宋_GB2312" w:eastAsia="仿宋_GB2312"/>
                      <w:sz w:val="21"/>
                      <w:color w:val="000000"/>
                    </w:rPr>
                    <w:t>10．支持课件内所有的元素对象创建超链接，可链接到对象所在课件的相关页面、网页、文档等。</w:t>
                  </w:r>
                </w:p>
                <w:p>
                  <w:pPr>
                    <w:pStyle w:val="null3"/>
                    <w:jc w:val="left"/>
                  </w:pPr>
                  <w:r>
                    <w:rPr>
                      <w:rFonts w:ascii="仿宋_GB2312" w:hAnsi="仿宋_GB2312" w:cs="仿宋_GB2312" w:eastAsia="仿宋_GB2312"/>
                      <w:sz w:val="21"/>
                      <w:color w:val="000000"/>
                    </w:rPr>
                    <w:t>11．白板软件支持老师发起集体备课功能，老师可自行选择对应课件、资源等发起线上备课，邀请其他老师共同参加，参与老师可以实时对课件内容进行打点批注，以及引用到个人云空间，研讨备课结束后，可自动生成信息化报告。</w:t>
                  </w:r>
                </w:p>
                <w:p>
                  <w:pPr>
                    <w:pStyle w:val="null3"/>
                    <w:jc w:val="left"/>
                  </w:pPr>
                  <w:r>
                    <w:rPr>
                      <w:rFonts w:ascii="仿宋_GB2312" w:hAnsi="仿宋_GB2312" w:cs="仿宋_GB2312" w:eastAsia="仿宋_GB2312"/>
                      <w:sz w:val="21"/>
                      <w:color w:val="000000"/>
                    </w:rPr>
                    <w:t>12．提供多种几何图形，如直线、箭头、正方形、圆角四边形、平行四边形、圆形、等腰三角形、直角三角形、菱形、梯形、五边形等基本几何图形以及对话框、五角星、大括号、旗子等特殊图形，特殊图形插入后支持顶点位置编辑；图形总数量不少于35种。</w:t>
                  </w:r>
                </w:p>
                <w:p>
                  <w:pPr>
                    <w:pStyle w:val="null3"/>
                    <w:jc w:val="left"/>
                  </w:pPr>
                  <w:r>
                    <w:rPr>
                      <w:rFonts w:ascii="仿宋_GB2312" w:hAnsi="仿宋_GB2312" w:cs="仿宋_GB2312" w:eastAsia="仿宋_GB2312"/>
                      <w:sz w:val="21"/>
                      <w:color w:val="000000"/>
                    </w:rPr>
                    <w:t>13．提供多学科实验资源，包括物理化学生物等。</w:t>
                  </w:r>
                </w:p>
                <w:p>
                  <w:pPr>
                    <w:pStyle w:val="null3"/>
                    <w:jc w:val="left"/>
                  </w:pPr>
                  <w:r>
                    <w:rPr>
                      <w:rFonts w:ascii="仿宋_GB2312" w:hAnsi="仿宋_GB2312" w:cs="仿宋_GB2312" w:eastAsia="仿宋_GB2312"/>
                      <w:sz w:val="21"/>
                      <w:color w:val="000000"/>
                    </w:rPr>
                    <w:t>14．▲支持电子听评课功能，老师可在授课模式下在线发起听评课，其他老师可通过二维码进行评价以及获取课件，发起老师可在我的学校中查看历史评课记录并进行文档导出，至少支持word及pdf或其他常见的文档格式等。</w:t>
                  </w:r>
                </w:p>
                <w:p>
                  <w:pPr>
                    <w:pStyle w:val="null3"/>
                    <w:jc w:val="left"/>
                  </w:pPr>
                  <w:r>
                    <w:rPr>
                      <w:rFonts w:ascii="仿宋_GB2312" w:hAnsi="仿宋_GB2312" w:cs="仿宋_GB2312" w:eastAsia="仿宋_GB2312"/>
                      <w:sz w:val="21"/>
                      <w:color w:val="000000"/>
                    </w:rPr>
                    <w:t>15．软件内置的AI智能语义分析模块，可对输入的英文文本的拼写、句型、语法进行错误检查，并支持一键纠错。</w:t>
                  </w:r>
                </w:p>
                <w:p>
                  <w:pPr>
                    <w:pStyle w:val="null3"/>
                    <w:jc w:val="left"/>
                  </w:pPr>
                  <w:r>
                    <w:rPr>
                      <w:rFonts w:ascii="仿宋_GB2312" w:hAnsi="仿宋_GB2312" w:cs="仿宋_GB2312" w:eastAsia="仿宋_GB2312"/>
                      <w:sz w:val="21"/>
                      <w:color w:val="000000"/>
                    </w:rPr>
                    <w:t>16．在备课场景中支持搜索课件库课件资源，具有不少于15万份的课件资源，支持整份课件或按照课件页插入课件中。支持按照教学环节筛选对应课件页一键插入课件中，可导课入新课、作者简介。支持按照元素类型思维导图、课堂活动选取需要的部分补充课件缺失的部分。支持在查看部分课件的同时查看对应整份课件，了解作者整体教学思路。</w:t>
                  </w:r>
                </w:p>
              </w:tc>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60</w:t>
                  </w:r>
                </w:p>
              </w:tc>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台</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视频展台</w:t>
                  </w:r>
                </w:p>
              </w:tc>
              <w:tc>
                <w:tcPr>
                  <w:tcW w:type="dxa" w:w="18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1.整机采用圆弧式设计，无锐角；托板可承重3kg，同时托板采用磁吸吸附式机构。</w:t>
                  </w:r>
                </w:p>
                <w:p>
                  <w:pPr>
                    <w:pStyle w:val="null3"/>
                    <w:jc w:val="left"/>
                  </w:pPr>
                  <w:r>
                    <w:rPr>
                      <w:rFonts w:ascii="仿宋_GB2312" w:hAnsi="仿宋_GB2312" w:cs="仿宋_GB2312" w:eastAsia="仿宋_GB2312"/>
                      <w:sz w:val="21"/>
                      <w:color w:val="000000"/>
                    </w:rPr>
                    <w:t>2.可选择图像、文本或动态等多种情景模式，适应不同展示内容。</w:t>
                  </w:r>
                </w:p>
                <w:p>
                  <w:pPr>
                    <w:pStyle w:val="null3"/>
                    <w:jc w:val="left"/>
                  </w:pPr>
                  <w:r>
                    <w:rPr>
                      <w:rFonts w:ascii="仿宋_GB2312" w:hAnsi="仿宋_GB2312" w:cs="仿宋_GB2312" w:eastAsia="仿宋_GB2312"/>
                      <w:sz w:val="21"/>
                      <w:color w:val="000000"/>
                    </w:rPr>
                    <w:t>3.二维码扫码：打开扫一扫功能后，将书本上的二维码放入扫描框内即可自动扫描，并进入系统浏览器获取二维码的链接内容，可获取电子教学资源。</w:t>
                  </w:r>
                </w:p>
                <w:p>
                  <w:pPr>
                    <w:pStyle w:val="null3"/>
                    <w:jc w:val="left"/>
                  </w:pPr>
                  <w:r>
                    <w:rPr>
                      <w:rFonts w:ascii="仿宋_GB2312" w:hAnsi="仿宋_GB2312" w:cs="仿宋_GB2312" w:eastAsia="仿宋_GB2312"/>
                      <w:sz w:val="21"/>
                      <w:color w:val="000000"/>
                    </w:rPr>
                    <w:t>4.支持对展台画面进行放大、缩小、旋转、自适应、冻结画面等操作。</w:t>
                  </w:r>
                </w:p>
                <w:p>
                  <w:pPr>
                    <w:pStyle w:val="null3"/>
                    <w:jc w:val="left"/>
                  </w:pPr>
                  <w:r>
                    <w:rPr>
                      <w:rFonts w:ascii="仿宋_GB2312" w:hAnsi="仿宋_GB2312" w:cs="仿宋_GB2312" w:eastAsia="仿宋_GB2312"/>
                      <w:sz w:val="21"/>
                      <w:color w:val="000000"/>
                    </w:rPr>
                    <w:t>5.支持展台画面拍照截图并进行多图预览，可对任一图片进行全屏显示。</w:t>
                  </w:r>
                </w:p>
              </w:tc>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60</w:t>
                  </w:r>
                </w:p>
              </w:tc>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台</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合同签订后30日历天内完成</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合同签订后30日历天内完成</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渭南中学校内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渭南中学校内</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乙方将所有货物供至甲方指定地点后，由乙方提出书面验收申请，自申请之日起7个工作日内，甲方组织相关专家进行验收</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乙方将所有货物供至甲方指定地点后，由乙方提出书面验收申请，自申请之日起7个工作日内，甲方组织相关专家进行验收</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项目实施完毕后，供应商应向采购人提交项目验收报告，申请项目验收，并将项目实施过程中相关资料提交采购人。采购人收到项目验收报告后，组织相关人员进行验收。 验收标准按照国家、行业有关规范和要求执行。供应商承诺完全达到国家有关部门验收标准，并全部通过验收为交付使用的基本条件。</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项目实施完毕后，供应商应向采购人提交项目验收报告，申请项目验收，并将项目实施过程中相关资料提交采购人。采购人收到项目验收报告后，组织相关人员进行验收。 验收标准按照国家、行业有关规范和要求执行。供应商承诺完全达到国家有关部门验收标准，并全部通过验收为交付使用的基本条件。</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卖方应保证所供货物是全新的、未使用过的，并完全符合合同规定的质量、规格、技术指标(包括合同附件)等要求。卖方应保证其货物在正确安装、正常使用和保养条件下，在其使用寿命内应具有满意的性能。在货物最终验收后的质量保证期内，卖方应对由于设计、工艺或材料的缺陷而产生的故障负责。质保期满后如出现此类问题亦应负责。 （2）在质量保证期内，如果货物的质量、规格、技术指标等与合同有任何一项不符，买方应尽快以书面形式向卖方提出索赔。同时应向政府采购管理部门报告。 （3）卖方在收到买方的通知后，应及时免费维修或更换有缺陷的货物或部件，并相应延长保修期限。具体响应时限见专用合同条款。 （4）如果卖方在收到通知后，没有在上述专用合同条款中规定的时限内及时弥补缺陷，买方可采取必要的补救措施，但其风险和费用将由卖方承担，买方根据合同规定对卖方行使的其它权力不受影响。（5）质量保修期：1年。</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卖方应保证所供货物是全新的、未使用过的，并完全符合合同规定的质量、规格、技术指标(包括合同附件)等要求。卖方应保证其货物在正确安装、正常使用和保养条件下，在其使用寿命内应具有满意的性能。在货物最终验收后的质量保证期内，卖方应对由于设计、工艺或材料的缺陷而产生的故障负责。质保期满后如出现此类问题亦应负责。 （2）在质量保证期内，如果货物的质量、规格、技术指标等与合同有任何一项不符，买方应尽快以书面形式向卖方提出索赔。同时应向政府采购管理部门报告。 （3）卖方在收到买方的通知后，应及时免费维修或更换有缺陷的货物或部件，并相应延长保修期限。具体响应时限见专用合同条款。 （4）如果卖方在收到通知后，没有在上述专用合同条款中规定的时限内及时弥补缺陷，买方可采取必要的补救措施，但其风险和费用将由卖方承担，买方根据合同规定对卖方行使的其它权力不受影响。（5）质量保修期：3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详见合同约定。</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详见合同约定</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核心产品：包1：LED教室灯；包2：智慧黑板。</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投标人应具备独立承担民事责任的能力：提供法人或者其他组织的营业执照等证明文件，自然人的身份证明；2、提供开标前一年内至今任意一个月依法缴纳税收和社会保障资金的相关材料；3、提供具有履行合同所必需的设备和专业技术能力的承诺；4、参加政府采购活动前3年内，在经营活动中没有重大违法记录的书面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投标函 资格审查资料.docx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提供具有财务审计资质单位出具的2024年度或2025年度财务报告（含附表附注），（成立时间至开标时间不足一年的可提供成立后任意时段的资产负债表）或开标前半年内其基本账户银行出具的资信证明。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资格审查资料.docx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资格审查资料.docx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资格审查资料.docx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资格审查资料.docx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资格审查资料.docx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法人证明或法人授权委托书</w:t>
            </w:r>
          </w:p>
        </w:tc>
        <w:tc>
          <w:tcPr>
            <w:tcW w:type="dxa" w:w="3322"/>
          </w:tcPr>
          <w:p>
            <w:pPr>
              <w:pStyle w:val="null3"/>
            </w:pPr>
            <w:r>
              <w:rPr>
                <w:rFonts w:ascii="仿宋_GB2312" w:hAnsi="仿宋_GB2312" w:cs="仿宋_GB2312" w:eastAsia="仿宋_GB2312"/>
              </w:rPr>
              <w:t>提供法定代表人授权委托书（附法定代表人、被授权人身份证复印件）；法定代表人直接参加投标，须提供法定代表人证明书（附法定代表人身份证复印件）。</w:t>
            </w:r>
          </w:p>
        </w:tc>
        <w:tc>
          <w:tcPr>
            <w:tcW w:type="dxa" w:w="1661"/>
          </w:tcPr>
          <w:p>
            <w:pPr>
              <w:pStyle w:val="null3"/>
            </w:pPr>
            <w:r>
              <w:rPr>
                <w:rFonts w:ascii="仿宋_GB2312" w:hAnsi="仿宋_GB2312" w:cs="仿宋_GB2312" w:eastAsia="仿宋_GB2312"/>
              </w:rPr>
              <w:t>资格审查资料.docx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信用中国网、中国执行公开网和中国政府采购网查询情况</w:t>
            </w:r>
          </w:p>
        </w:tc>
        <w:tc>
          <w:tcPr>
            <w:tcW w:type="dxa" w:w="3322"/>
          </w:tcPr>
          <w:p>
            <w:pPr>
              <w:pStyle w:val="null3"/>
            </w:pPr>
            <w:r>
              <w:rPr>
                <w:rFonts w:ascii="仿宋_GB2312" w:hAnsi="仿宋_GB2312" w:cs="仿宋_GB2312" w:eastAsia="仿宋_GB2312"/>
              </w:rPr>
              <w:t>供应商未被《信用中国》（网站：www.creditchina.gov.cn)列入重大税收违法失信主体、未被《中国执行信息公开网》（网站：http://zxgk.court.gov.cn/shixin/)列入失信被执行人及未被《中国政府采购网》（网站：www.ccgp.gov.cn）列入政府采购严重违法失信行为记录名单。</w:t>
            </w:r>
          </w:p>
        </w:tc>
        <w:tc>
          <w:tcPr>
            <w:tcW w:type="dxa" w:w="1661"/>
          </w:tcPr>
          <w:p>
            <w:pPr>
              <w:pStyle w:val="null3"/>
            </w:pPr>
            <w:r>
              <w:rPr>
                <w:rFonts w:ascii="仿宋_GB2312" w:hAnsi="仿宋_GB2312" w:cs="仿宋_GB2312" w:eastAsia="仿宋_GB2312"/>
              </w:rPr>
              <w:t>资格审查资料.docx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法人证明或法人授权委托书</w:t>
            </w:r>
          </w:p>
        </w:tc>
        <w:tc>
          <w:tcPr>
            <w:tcW w:type="dxa" w:w="3322"/>
          </w:tcPr>
          <w:p>
            <w:pPr>
              <w:pStyle w:val="null3"/>
            </w:pPr>
            <w:r>
              <w:rPr>
                <w:rFonts w:ascii="仿宋_GB2312" w:hAnsi="仿宋_GB2312" w:cs="仿宋_GB2312" w:eastAsia="仿宋_GB2312"/>
              </w:rPr>
              <w:t>提供法定代表人授权委托书（附法定代表人、被授权人身份证复印件）；法定代表人直接参加投标，须提供法定代表人证明书（附法定代表人身份证复印件）。</w:t>
            </w:r>
          </w:p>
        </w:tc>
        <w:tc>
          <w:tcPr>
            <w:tcW w:type="dxa" w:w="1661"/>
          </w:tcPr>
          <w:p>
            <w:pPr>
              <w:pStyle w:val="null3"/>
            </w:pPr>
            <w:r>
              <w:rPr>
                <w:rFonts w:ascii="仿宋_GB2312" w:hAnsi="仿宋_GB2312" w:cs="仿宋_GB2312" w:eastAsia="仿宋_GB2312"/>
              </w:rPr>
              <w:t>资格审查资料.docx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信用中国网、中国执行公开网和中国政府采购网查询情况</w:t>
            </w:r>
          </w:p>
        </w:tc>
        <w:tc>
          <w:tcPr>
            <w:tcW w:type="dxa" w:w="3322"/>
          </w:tcPr>
          <w:p>
            <w:pPr>
              <w:pStyle w:val="null3"/>
            </w:pPr>
            <w:r>
              <w:rPr>
                <w:rFonts w:ascii="仿宋_GB2312" w:hAnsi="仿宋_GB2312" w:cs="仿宋_GB2312" w:eastAsia="仿宋_GB2312"/>
              </w:rPr>
              <w:t>供应商未被《信用中国》（网站：www.creditchina.gov.cn)列入重大税收违法失信主体、未被《中国执行信息公开网》（网站：http://zxgk.court.gov.cn/shixin/)列入失信被执行人及未被《中国政府采购网》（网站：www.ccgp.gov.cn）列入政府采购严重违法失信行为记录名单。</w:t>
            </w:r>
          </w:p>
        </w:tc>
        <w:tc>
          <w:tcPr>
            <w:tcW w:type="dxa" w:w="1661"/>
          </w:tcPr>
          <w:p>
            <w:pPr>
              <w:pStyle w:val="null3"/>
            </w:pPr>
            <w:r>
              <w:rPr>
                <w:rFonts w:ascii="仿宋_GB2312" w:hAnsi="仿宋_GB2312" w:cs="仿宋_GB2312" w:eastAsia="仿宋_GB2312"/>
              </w:rPr>
              <w:t>资格审查资料.docx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签字盖章</w:t>
            </w:r>
          </w:p>
        </w:tc>
        <w:tc>
          <w:tcPr>
            <w:tcW w:type="dxa" w:w="3322"/>
          </w:tcPr>
          <w:p>
            <w:pPr>
              <w:pStyle w:val="null3"/>
            </w:pPr>
            <w:r>
              <w:rPr>
                <w:rFonts w:ascii="仿宋_GB2312" w:hAnsi="仿宋_GB2312" w:cs="仿宋_GB2312" w:eastAsia="仿宋_GB2312"/>
              </w:rPr>
              <w:t>符合招标文件规定签署盖章要求</w:t>
            </w:r>
          </w:p>
        </w:tc>
        <w:tc>
          <w:tcPr>
            <w:tcW w:type="dxa" w:w="1661"/>
          </w:tcPr>
          <w:p>
            <w:pPr>
              <w:pStyle w:val="null3"/>
            </w:pPr>
            <w:r>
              <w:rPr>
                <w:rFonts w:ascii="仿宋_GB2312" w:hAnsi="仿宋_GB2312" w:cs="仿宋_GB2312" w:eastAsia="仿宋_GB2312"/>
              </w:rPr>
              <w:t>开标一览表 业绩.docx 中小企业声明函 技术方案评审.docx 商务要求响应表.docx 分项报价表.docx 投标函 残疾人福利性单位声明函 标的清单 资格审查资料.docx 投标文件封面 产品技术参数表.docx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对招标文件的响应程度</w:t>
            </w:r>
          </w:p>
        </w:tc>
        <w:tc>
          <w:tcPr>
            <w:tcW w:type="dxa" w:w="3322"/>
          </w:tcPr>
          <w:p>
            <w:pPr>
              <w:pStyle w:val="null3"/>
            </w:pPr>
            <w:r>
              <w:rPr>
                <w:rFonts w:ascii="仿宋_GB2312" w:hAnsi="仿宋_GB2312" w:cs="仿宋_GB2312" w:eastAsia="仿宋_GB2312"/>
              </w:rPr>
              <w:t>要求实质性条款全部响应，不能有采购人不能接受的附加条件。</w:t>
            </w:r>
          </w:p>
        </w:tc>
        <w:tc>
          <w:tcPr>
            <w:tcW w:type="dxa" w:w="1661"/>
          </w:tcPr>
          <w:p>
            <w:pPr>
              <w:pStyle w:val="null3"/>
            </w:pPr>
            <w:r>
              <w:rPr>
                <w:rFonts w:ascii="仿宋_GB2312" w:hAnsi="仿宋_GB2312" w:cs="仿宋_GB2312" w:eastAsia="仿宋_GB2312"/>
              </w:rPr>
              <w:t>商务要求响应表.docx 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唯一报价，并未超出最高限价</w:t>
            </w:r>
          </w:p>
        </w:tc>
        <w:tc>
          <w:tcPr>
            <w:tcW w:type="dxa" w:w="1661"/>
          </w:tcPr>
          <w:p>
            <w:pPr>
              <w:pStyle w:val="null3"/>
            </w:pPr>
            <w:r>
              <w:rPr>
                <w:rFonts w:ascii="仿宋_GB2312" w:hAnsi="仿宋_GB2312" w:cs="仿宋_GB2312" w:eastAsia="仿宋_GB2312"/>
              </w:rPr>
              <w:t>开标一览表 投标函 标的清单 投标文件封面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自投标文件文件递交截止之日起90日历天</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签字盖章</w:t>
            </w:r>
          </w:p>
        </w:tc>
        <w:tc>
          <w:tcPr>
            <w:tcW w:type="dxa" w:w="3322"/>
          </w:tcPr>
          <w:p>
            <w:pPr>
              <w:pStyle w:val="null3"/>
            </w:pPr>
            <w:r>
              <w:rPr>
                <w:rFonts w:ascii="仿宋_GB2312" w:hAnsi="仿宋_GB2312" w:cs="仿宋_GB2312" w:eastAsia="仿宋_GB2312"/>
              </w:rPr>
              <w:t>符合招标文件规定签署盖章要求</w:t>
            </w:r>
          </w:p>
        </w:tc>
        <w:tc>
          <w:tcPr>
            <w:tcW w:type="dxa" w:w="1661"/>
          </w:tcPr>
          <w:p>
            <w:pPr>
              <w:pStyle w:val="null3"/>
            </w:pPr>
            <w:r>
              <w:rPr>
                <w:rFonts w:ascii="仿宋_GB2312" w:hAnsi="仿宋_GB2312" w:cs="仿宋_GB2312" w:eastAsia="仿宋_GB2312"/>
              </w:rPr>
              <w:t>开标一览表 业绩.docx 中小企业声明函 技术方案评审.docx 商务要求响应表.docx 分项报价表.docx 投标函 残疾人福利性单位声明函 标的清单 资格审查资料.docx 投标文件封面 产品技术参数表.docx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对招标文件的响应程度</w:t>
            </w:r>
          </w:p>
        </w:tc>
        <w:tc>
          <w:tcPr>
            <w:tcW w:type="dxa" w:w="3322"/>
          </w:tcPr>
          <w:p>
            <w:pPr>
              <w:pStyle w:val="null3"/>
            </w:pPr>
            <w:r>
              <w:rPr>
                <w:rFonts w:ascii="仿宋_GB2312" w:hAnsi="仿宋_GB2312" w:cs="仿宋_GB2312" w:eastAsia="仿宋_GB2312"/>
              </w:rPr>
              <w:t>要求实质性条款全部响应，不能有采购人不能接受的附加条件。</w:t>
            </w:r>
          </w:p>
        </w:tc>
        <w:tc>
          <w:tcPr>
            <w:tcW w:type="dxa" w:w="1661"/>
          </w:tcPr>
          <w:p>
            <w:pPr>
              <w:pStyle w:val="null3"/>
            </w:pPr>
            <w:r>
              <w:rPr>
                <w:rFonts w:ascii="仿宋_GB2312" w:hAnsi="仿宋_GB2312" w:cs="仿宋_GB2312" w:eastAsia="仿宋_GB2312"/>
              </w:rPr>
              <w:t>商务要求响应表.docx 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唯一报价，并未超出最高限价</w:t>
            </w:r>
          </w:p>
        </w:tc>
        <w:tc>
          <w:tcPr>
            <w:tcW w:type="dxa" w:w="1661"/>
          </w:tcPr>
          <w:p>
            <w:pPr>
              <w:pStyle w:val="null3"/>
            </w:pPr>
            <w:r>
              <w:rPr>
                <w:rFonts w:ascii="仿宋_GB2312" w:hAnsi="仿宋_GB2312" w:cs="仿宋_GB2312" w:eastAsia="仿宋_GB2312"/>
              </w:rPr>
              <w:t>开标一览表 投标函 标的清单 投标文件封面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自投标文件文件递交截止之日起90日历天</w:t>
            </w:r>
          </w:p>
        </w:tc>
        <w:tc>
          <w:tcPr>
            <w:tcW w:type="dxa" w:w="1661"/>
          </w:tcPr>
          <w:p>
            <w:pPr>
              <w:pStyle w:val="null3"/>
            </w:pPr>
            <w:r>
              <w:rPr>
                <w:rFonts w:ascii="仿宋_GB2312" w:hAnsi="仿宋_GB2312" w:cs="仿宋_GB2312" w:eastAsia="仿宋_GB2312"/>
              </w:rPr>
              <w:t>投标函</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详细评审60.00分</w:t>
            </w:r>
          </w:p>
          <w:p>
            <w:pPr>
              <w:pStyle w:val="null3"/>
            </w:pPr>
            <w:r>
              <w:rPr>
                <w:rFonts w:ascii="仿宋_GB2312" w:hAnsi="仿宋_GB2312" w:cs="仿宋_GB2312" w:eastAsia="仿宋_GB2312"/>
              </w:rPr>
              <w:t>报价得分40.00分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技术参数评审</w:t>
            </w:r>
          </w:p>
        </w:tc>
        <w:tc>
          <w:tcPr>
            <w:tcW w:type="dxa" w:w="2492"/>
          </w:tcPr>
          <w:p>
            <w:pPr>
              <w:pStyle w:val="null3"/>
            </w:pPr>
            <w:r>
              <w:rPr>
                <w:rFonts w:ascii="仿宋_GB2312" w:hAnsi="仿宋_GB2312" w:cs="仿宋_GB2312" w:eastAsia="仿宋_GB2312"/>
              </w:rPr>
              <w:t>按照招标文件要求，投标人提供所投产品的主要的技术指标（参数）的相应的证明材料，并经评审专家审定方可得分。完全响应招标文件要求，没有负偏离的得22分。标记“▲”的技术参数每负偏离一项扣1分，带“▲”号项为设备的重要参数须提供技术支持材料，技术支持材料是指检测机构出具的检测报告或技术说明书或功能彩页截图等证明资料，未提供有效技术支持材料的按负偏离处理。非“▲”参数负偏离每有一条负偏离扣0.5分扣完为止。</w:t>
            </w:r>
          </w:p>
        </w:tc>
        <w:tc>
          <w:tcPr>
            <w:tcW w:type="dxa" w:w="831"/>
          </w:tcPr>
          <w:p>
            <w:pPr>
              <w:pStyle w:val="null3"/>
              <w:jc w:val="right"/>
            </w:pPr>
            <w:r>
              <w:rPr>
                <w:rFonts w:ascii="仿宋_GB2312" w:hAnsi="仿宋_GB2312" w:cs="仿宋_GB2312" w:eastAsia="仿宋_GB2312"/>
              </w:rPr>
              <w:t>22.0000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产品技术参数表.docx</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评审内容： 投标人针对本项目提供完整的项目实施方案。内容包含 ：①供货组织安排②实施计划及进度计划③安装调试验收④物力调配及保障措施⑤针对可能出现的各类突发情况提供应急解决方案。 评审标准： 提供详细、合理、科学可行的方案，方案符合本项目采购需求有针对性，以上5项，以序号①、②、③、④、⑤为项数，内容无缺项、无漏项且无缺陷的得15分，其中每有一项内容存在缺项或漏项的扣3分，每项内容中每有一处存在缺陷的扣1分，该项分值扣完为止，未提供不得分。 赋分说明： “缺陷”是指套用其他项目方案内容；或引用科学原理错误；或项目名称错误；或实施地点错误；或引用的法律法规、标准（方法）或其他规范性文件错误；或前后逻辑错误；或存在与本项目特点、采购需求无关内容的任一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技术方案评审.docx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评审内容： 根据项目实际需求，提供质量保证方案。内容包含①产品性能、使用寿命及效果②运输成品保护方案③计划保证措施④运输时效⑤质量保证措施。 评审标准： 提供详细、合理、科学可行的方案，方案符合本项目采购需求有针对性，以上5项，以序号①、②、③、④、⑤为项数，内容无缺项、无漏项且无缺陷的得10分，其中每有一项内容存在缺项或漏项的扣2分，每项内容中每有一处存在缺陷的扣1分，该项分值扣完为止，未提供不得分。 赋分说明：“缺陷”是指套用其他项目方案内容；或引用科学原理错误；或项目名称错误；或实施地点错误；或引用的法律法规、标准（方法）或其他规范性文件错误；或前后逻辑错误；或存在与本项目特点、采购需求无关内容的任一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技术方案评审.docx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评审内容： 针对本项目具有可行的技术培训方案。包括①培训计划，含培训计划表、地点、时间及培训对象人数等②培训内容，含所提供产品的原理和技术性能、操作维护方法、安装调试、排除故障等。 评审标准： 提供详细、合理、科学可行的方案，方案符合本项目采购需求有针对性，以上2项，以序号①、②为项数，内容无缺项、无漏项且无缺陷的得4分，其中每有一项内容存在缺项或漏项的扣2分，每项内容中每有一处存在缺陷的扣1分，该项分值扣完为止，未提供不得分。 赋分说明： “缺陷”是指套用其他项目方案内容；或引用科学原理错误；或项目名称错误；或实施地点错误；或引用的法律法规、标准（方法）或其他规范性文件错误；或前后逻辑错误；或存在与本项目特点、采购需求无关内容的任一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技术方案评审.docx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评审内容： 根据项目实际需求提供售后服务方案。内容包含：①服务范围及保障措施②售后服务团队人员配备方案③售后服务体系及方式。 评审标准： 提供详细、合理、科学可行的方案，方案符合本项目采购需求有针对性，以上3项，以序号①、②、③为项数，内容无缺项、无漏项且无缺陷的得6分，其中每有一项内容存在缺项或漏项的扣2分，每项内容中每有一处存在缺陷的扣1分，该项分值扣完为止，未提供不得分。 赋分说明： “缺陷”是指套用其他项目方案内容；或引用科学原理错误；或项目名称错误；或实施地点错误；或引用的法律法规、标准（方法）或其他规范性文件错误；或前后逻辑错误；或存在与本项目特点、采购需求无关内容的任一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技术方案评审.docx</w:t>
            </w:r>
          </w:p>
        </w:tc>
      </w:tr>
      <w:tr>
        <w:tc>
          <w:tcPr>
            <w:tcW w:type="dxa" w:w="831"/>
            <w:vMerge/>
          </w:tcP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供应商提供2021年1月至今具有类似项目业绩；投标文件中需附合同复印件并加盖公章，以合同签订时间为准。每提供1个得1分，满分3分。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1.满足招标文件实质性要求且最终报价最低的供应商的价格为投标基准价，其价格分为满分40分。 2.投标报价得分=（投标基准价/最终投标报价）×40的公式计算得分。 3.投标报价不完整的，不进入评标标准价的计算，本项得0分。 4.经评评标小组一致认定，超过预算金额,其响应将被拒绝。</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详细评审60.00分</w:t>
            </w:r>
          </w:p>
          <w:p>
            <w:pPr>
              <w:pStyle w:val="null3"/>
            </w:pPr>
            <w:r>
              <w:rPr>
                <w:rFonts w:ascii="仿宋_GB2312" w:hAnsi="仿宋_GB2312" w:cs="仿宋_GB2312" w:eastAsia="仿宋_GB2312"/>
              </w:rPr>
              <w:t>报价得分40.00分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技术参数评审</w:t>
            </w:r>
          </w:p>
        </w:tc>
        <w:tc>
          <w:tcPr>
            <w:tcW w:type="dxa" w:w="2492"/>
          </w:tcPr>
          <w:p>
            <w:pPr>
              <w:pStyle w:val="null3"/>
            </w:pPr>
            <w:r>
              <w:rPr>
                <w:rFonts w:ascii="仿宋_GB2312" w:hAnsi="仿宋_GB2312" w:cs="仿宋_GB2312" w:eastAsia="仿宋_GB2312"/>
              </w:rPr>
              <w:t>按照招标文件要求，投标人提供所投产品的主要的技术指标（参数）的相应的证明材料，并经评审专家审定方可得分。完全响应招标文件要求，没有负偏离的得22分。标记“▲”的技术参数每负偏离一项扣1分，带“▲”号项为设备的重要参数须提供技术支持材料，技术支持材料是指检测机构出具的检测报告或技术说明书或功能彩页截图等证明资料，未提供有效技术支持材料的按负偏离处理。非“▲”参数负偏离每有一条负偏离扣0.5分扣完为止。</w:t>
            </w:r>
          </w:p>
        </w:tc>
        <w:tc>
          <w:tcPr>
            <w:tcW w:type="dxa" w:w="831"/>
          </w:tcPr>
          <w:p>
            <w:pPr>
              <w:pStyle w:val="null3"/>
              <w:jc w:val="right"/>
            </w:pPr>
            <w:r>
              <w:rPr>
                <w:rFonts w:ascii="仿宋_GB2312" w:hAnsi="仿宋_GB2312" w:cs="仿宋_GB2312" w:eastAsia="仿宋_GB2312"/>
              </w:rPr>
              <w:t>22.0000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产品技术参数表.docx</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评审内容： 投标人针对本项目提供完整的项目实施方案。内容包含 ：①供货组织安排②实施计划及进度计划③安装调试验收④物力调配及保障措施⑤针对可能出现的各类突发情况提供应急解决方案。 评审标准： 提供详细、合理、科学可行的方案，方案符合本项目采购需求有针对性，以上5项，以序号①、②、③、④、⑤为项数，内容无缺项、无漏项且无缺陷的得15分，其中每有一项内容存在缺项或漏项的扣3分，每项内容中每有一处存在缺陷的扣1分，该项分值扣完为止，未提供不得分。 赋分说明： “缺陷”是指套用其他项目方案内容；或引用科学原理错误；或项目名称错误；或实施地点错误；或引用的法律法规、标准（方法）或其他规范性文件错误；或前后逻辑错误；或存在与本项目特点、采购需求无关内容的任一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技术方案评审.docx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评审内容： 根据项目实际需求，提供质量保证方案。内容包含①产品性能、使用寿命及效果②运输成品保护方案③计划保证措施④运输时效⑤质量保证措施。 评审标准： 提供详细、合理、科学可行的方案，方案符合本项目采购需求有针对性，以上5项，以序号①、②、③、④、⑤为项数，内容无缺项、无漏项且无缺陷的得10分，其中每有一项内容存在缺项或漏项的扣2分，每项内容中每有一处存在缺陷的扣1分，该项分值扣完为止，未提供不得分。 赋分说明：“缺陷”是指套用其他项目方案内容；或引用科学原理错误；或项目名称错误；或实施地点错误；或引用的法律法规、标准（方法）或其他规范性文件错误；或前后逻辑错误；或存在与本项目特点、采购需求无关内容的任一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技术方案评审.docx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评审内容： 针对本项目具有可行的技术培训方案。包括①培训计划，含培训计划表、地点、时间及培训对象人数等②培训内容，含所提供产品的原理和技术性能、操作维护方法、安装调试、排除故障等。 评审标准： 提供详细、合理、科学可行的方案，方案符合本项目采购需求有针对性，以上2项，以序号①、②为项数，内容无缺项、无漏项且无缺陷的得4分，其中每有一项内容存在缺项或漏项的扣2分，每项内容中每有一处存在缺陷的扣1分，该项分值扣完为止，未提供不得分。 赋分说明： “缺陷”是指套用其他项目方案内容；或引用科学原理错误；或项目名称错误；或实施地点错误；或引用的法律法规、标准（方法）或其他规范性文件错误；或前后逻辑错误；或存在与本项目特点、采购需求无关内容的任一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技术方案评审.docx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评审内容： 根据项目实际需求提供售后服务方案。内容包含：①服务范围及保障措施②售后服务团队人员配备方案③售后服务体系及方式。 评审标准： 提供详细、合理、科学可行的方案，方案符合本项目采购需求有针对性，以上3项，以序号①、②、③为项数，内容无缺项、无漏项且无缺陷的得6分，其中每有一项内容存在缺项或漏项的扣2分，每项内容中每有一处存在缺陷的扣1分，该项分值扣完为止，未提供不得分。 赋分说明： “缺陷”是指套用其他项目方案内容；或引用科学原理错误；或项目名称错误；或实施地点错误；或引用的法律法规、标准（方法）或其他规范性文件错误；或前后逻辑错误；或存在与本项目特点、采购需求无关内容的任一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技术方案评审.docx</w:t>
            </w:r>
          </w:p>
        </w:tc>
      </w:tr>
      <w:tr>
        <w:tc>
          <w:tcPr>
            <w:tcW w:type="dxa" w:w="831"/>
            <w:vMerge/>
          </w:tcP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供应商提供2021年1月至今具有类似项目业绩；投标文件中需附合同复印件并加盖公章，以合同签订时间为准。每提供1个得1分，满分3分。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1.满足招标文件实质性要求且最终报价最低的供应商的价格为投标基准价，其价格分为满分40分。 2.投标报价得分=（投标基准价/最终投标报价）×40的公式计算得分。 3.投标报价不完整的，不进入评标标准价的计算，本项得0分。 4.经评评标小组一致认定，超过预算金额,其响应将被拒绝。</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详见附件：产品技术参数表.docx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详见附件：技术方案评审.docx</w:t>
      </w:r>
    </w:p>
    <w:p>
      <w:pPr>
        <w:pStyle w:val="null3"/>
        <w:ind w:firstLine="960"/>
      </w:pPr>
      <w:r>
        <w:rPr>
          <w:rFonts w:ascii="仿宋_GB2312" w:hAnsi="仿宋_GB2312" w:cs="仿宋_GB2312" w:eastAsia="仿宋_GB2312"/>
        </w:rPr>
        <w:t>详见附件：商务要求响应表.docx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详见附件：资格审查资料.docx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详见附件：产品技术参数表.docx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详见附件：技术方案评审.docx</w:t>
      </w:r>
    </w:p>
    <w:p>
      <w:pPr>
        <w:pStyle w:val="null3"/>
        <w:ind w:firstLine="960"/>
      </w:pPr>
      <w:r>
        <w:rPr>
          <w:rFonts w:ascii="仿宋_GB2312" w:hAnsi="仿宋_GB2312" w:cs="仿宋_GB2312" w:eastAsia="仿宋_GB2312"/>
        </w:rPr>
        <w:t>详见附件：商务要求响应表.docx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详见附件：资格审查资料.docx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abstractNum w:abstractNumId="1">
    <w:multiLevelType w:val="hybridMultilevel"/>
    <w:lvl w:ilvl="0">
      <w:start w:val="1"/>
      <w:numFmt w:val="decimal"/>
      <w:lvlText w:val="%1."/>
      <w:lvlJc w:val="left"/>
      <w:pPr>
        <w:ind w:left="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