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02AE6">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b/>
          <w:sz w:val="32"/>
          <w:szCs w:val="32"/>
        </w:rPr>
      </w:pPr>
      <w:r>
        <w:rPr>
          <w:rFonts w:hint="eastAsia" w:ascii="宋体" w:hAnsi="宋体"/>
          <w:b/>
          <w:sz w:val="32"/>
          <w:szCs w:val="32"/>
        </w:rPr>
        <w:t>合同文本</w:t>
      </w:r>
    </w:p>
    <w:p w14:paraId="1C376D7C">
      <w:pPr>
        <w:tabs>
          <w:tab w:val="left" w:pos="735"/>
        </w:tabs>
        <w:autoSpaceDE w:val="0"/>
        <w:autoSpaceDN w:val="0"/>
        <w:adjustRightInd w:val="0"/>
        <w:snapToGrid w:val="0"/>
        <w:spacing w:line="360" w:lineRule="auto"/>
        <w:ind w:firstLine="631"/>
        <w:jc w:val="center"/>
        <w:rPr>
          <w:rFonts w:hint="eastAsia" w:ascii="宋体" w:hAnsi="宋体" w:cs="宋体"/>
          <w:b/>
          <w:bCs/>
          <w:sz w:val="24"/>
          <w:szCs w:val="24"/>
          <w:lang w:val="zh-CN"/>
        </w:rPr>
      </w:pPr>
      <w:r>
        <w:rPr>
          <w:rFonts w:hint="eastAsia" w:ascii="宋体" w:hAnsi="宋体" w:cs="宋体"/>
          <w:b/>
          <w:bCs/>
          <w:sz w:val="24"/>
          <w:szCs w:val="24"/>
          <w:lang w:val="zh-CN"/>
        </w:rPr>
        <w:t>（</w:t>
      </w:r>
      <w:r>
        <w:rPr>
          <w:rFonts w:hint="eastAsia" w:ascii="宋体" w:hAnsi="宋体" w:cs="宋体"/>
          <w:b/>
          <w:bCs/>
          <w:sz w:val="24"/>
          <w:szCs w:val="24"/>
          <w:lang w:val="en-US" w:eastAsia="zh-CN"/>
        </w:rPr>
        <w:t>本合同为范本，最终以甲乙双方签订为准</w:t>
      </w:r>
      <w:r>
        <w:rPr>
          <w:rFonts w:hint="eastAsia" w:ascii="宋体" w:hAnsi="宋体" w:cs="宋体"/>
          <w:b/>
          <w:bCs/>
          <w:sz w:val="24"/>
          <w:szCs w:val="24"/>
          <w:lang w:val="zh-CN"/>
        </w:rPr>
        <w:t>）</w:t>
      </w:r>
    </w:p>
    <w:p w14:paraId="26997C6A">
      <w:pPr>
        <w:tabs>
          <w:tab w:val="left" w:pos="735"/>
        </w:tabs>
        <w:autoSpaceDE w:val="0"/>
        <w:autoSpaceDN w:val="0"/>
        <w:adjustRightInd w:val="0"/>
        <w:snapToGrid w:val="0"/>
        <w:spacing w:line="360" w:lineRule="auto"/>
        <w:rPr>
          <w:rFonts w:hint="default" w:ascii="宋体" w:hAnsi="宋体" w:eastAsia="宋体" w:cs="宋体"/>
          <w:b/>
          <w:bCs/>
          <w:sz w:val="21"/>
          <w:szCs w:val="21"/>
          <w:lang w:val="en-US"/>
        </w:rPr>
      </w:pPr>
      <w:r>
        <w:rPr>
          <w:rFonts w:hint="eastAsia" w:ascii="宋体" w:hAnsi="宋体" w:eastAsia="宋体" w:cs="宋体"/>
          <w:b/>
          <w:bCs/>
          <w:sz w:val="21"/>
          <w:szCs w:val="21"/>
          <w:lang w:val="zh-CN"/>
        </w:rPr>
        <w:t>甲方：</w:t>
      </w:r>
      <w:r>
        <w:rPr>
          <w:rFonts w:hint="eastAsia" w:ascii="宋体" w:hAnsi="宋体" w:eastAsia="宋体" w:cs="宋体"/>
          <w:b/>
          <w:bCs/>
          <w:sz w:val="21"/>
          <w:szCs w:val="21"/>
          <w:u w:val="single"/>
          <w:lang w:val="en-US" w:eastAsia="zh-CN"/>
        </w:rPr>
        <w:t>渭南</w:t>
      </w:r>
      <w:r>
        <w:rPr>
          <w:rFonts w:hint="eastAsia" w:ascii="宋体" w:hAnsi="宋体" w:cs="宋体"/>
          <w:b/>
          <w:bCs/>
          <w:sz w:val="21"/>
          <w:szCs w:val="21"/>
          <w:u w:val="single"/>
          <w:lang w:val="en-US" w:eastAsia="zh-CN"/>
        </w:rPr>
        <w:t>中学</w:t>
      </w:r>
    </w:p>
    <w:p w14:paraId="3EE4D34C">
      <w:pPr>
        <w:tabs>
          <w:tab w:val="left" w:pos="735"/>
        </w:tabs>
        <w:autoSpaceDE w:val="0"/>
        <w:autoSpaceDN w:val="0"/>
        <w:adjustRightInd w:val="0"/>
        <w:snapToGrid w:val="0"/>
        <w:spacing w:line="360" w:lineRule="auto"/>
        <w:rPr>
          <w:rFonts w:hint="eastAsia" w:ascii="宋体" w:hAnsi="宋体" w:eastAsia="宋体" w:cs="宋体"/>
          <w:bCs/>
          <w:sz w:val="21"/>
          <w:szCs w:val="21"/>
          <w:lang w:val="zh-CN"/>
        </w:rPr>
      </w:pPr>
      <w:r>
        <w:rPr>
          <w:rFonts w:hint="eastAsia" w:ascii="宋体" w:hAnsi="宋体" w:eastAsia="宋体" w:cs="宋体"/>
          <w:b/>
          <w:bCs/>
          <w:sz w:val="21"/>
          <w:szCs w:val="21"/>
          <w:lang w:val="zh-CN"/>
        </w:rPr>
        <w:t>乙方：</w:t>
      </w:r>
      <w:r>
        <w:rPr>
          <w:rFonts w:hint="eastAsia" w:ascii="宋体" w:hAnsi="宋体" w:eastAsia="宋体" w:cs="宋体"/>
          <w:b/>
          <w:bCs/>
          <w:sz w:val="21"/>
          <w:szCs w:val="21"/>
          <w:u w:val="single"/>
          <w:lang w:val="zh-CN"/>
        </w:rPr>
        <w:t xml:space="preserve">                  </w:t>
      </w:r>
      <w:bookmarkStart w:id="0" w:name="_GoBack"/>
      <w:bookmarkEnd w:id="0"/>
    </w:p>
    <w:p w14:paraId="25F96D4C">
      <w:pPr>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根据《中华人民共和国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》等法律、法规规定，按照招投标文件规定条款和中标供应商承诺，甲乙双方签订本合同。</w:t>
      </w:r>
    </w:p>
    <w:p w14:paraId="0F25FEF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一、合同内容:</w:t>
      </w:r>
    </w:p>
    <w:tbl>
      <w:tblPr>
        <w:tblStyle w:val="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9"/>
        <w:gridCol w:w="1284"/>
        <w:gridCol w:w="976"/>
        <w:gridCol w:w="693"/>
        <w:gridCol w:w="654"/>
        <w:gridCol w:w="899"/>
        <w:gridCol w:w="1455"/>
        <w:gridCol w:w="1415"/>
        <w:gridCol w:w="1071"/>
      </w:tblGrid>
      <w:tr w14:paraId="37B1A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669" w:type="dxa"/>
            <w:noWrap w:val="0"/>
            <w:vAlign w:val="center"/>
          </w:tcPr>
          <w:p w14:paraId="6F8DB7F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序号</w:t>
            </w:r>
          </w:p>
        </w:tc>
        <w:tc>
          <w:tcPr>
            <w:tcW w:w="1284" w:type="dxa"/>
            <w:noWrap w:val="0"/>
            <w:vAlign w:val="center"/>
          </w:tcPr>
          <w:p w14:paraId="3F271AE7">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产品名称</w:t>
            </w:r>
          </w:p>
        </w:tc>
        <w:tc>
          <w:tcPr>
            <w:tcW w:w="976" w:type="dxa"/>
            <w:noWrap w:val="0"/>
            <w:vAlign w:val="center"/>
          </w:tcPr>
          <w:p w14:paraId="6F64CF79">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型  号</w:t>
            </w:r>
          </w:p>
        </w:tc>
        <w:tc>
          <w:tcPr>
            <w:tcW w:w="693" w:type="dxa"/>
            <w:noWrap w:val="0"/>
            <w:vAlign w:val="center"/>
          </w:tcPr>
          <w:p w14:paraId="331B95D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品牌</w:t>
            </w:r>
          </w:p>
        </w:tc>
        <w:tc>
          <w:tcPr>
            <w:tcW w:w="654" w:type="dxa"/>
            <w:noWrap w:val="0"/>
            <w:vAlign w:val="center"/>
          </w:tcPr>
          <w:p w14:paraId="5BDBA9A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单位</w:t>
            </w:r>
          </w:p>
        </w:tc>
        <w:tc>
          <w:tcPr>
            <w:tcW w:w="899" w:type="dxa"/>
            <w:noWrap w:val="0"/>
            <w:vAlign w:val="center"/>
          </w:tcPr>
          <w:p w14:paraId="2252EF78">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数量</w:t>
            </w:r>
          </w:p>
        </w:tc>
        <w:tc>
          <w:tcPr>
            <w:tcW w:w="1455" w:type="dxa"/>
            <w:noWrap w:val="0"/>
            <w:vAlign w:val="center"/>
          </w:tcPr>
          <w:p w14:paraId="67A10D38">
            <w:pPr>
              <w:spacing w:line="500" w:lineRule="exact"/>
              <w:jc w:val="center"/>
              <w:rPr>
                <w:rFonts w:hint="eastAsia" w:ascii="宋体" w:hAnsi="宋体" w:eastAsia="宋体" w:cs="宋体"/>
                <w:b w:val="0"/>
                <w:bCs w:val="0"/>
                <w:color w:val="000000"/>
                <w:sz w:val="21"/>
                <w:szCs w:val="21"/>
                <w:lang w:eastAsia="zh-CN"/>
              </w:rPr>
            </w:pPr>
            <w:r>
              <w:rPr>
                <w:rFonts w:hint="eastAsia" w:ascii="宋体" w:hAnsi="宋体" w:eastAsia="宋体" w:cs="宋体"/>
                <w:b w:val="0"/>
                <w:bCs w:val="0"/>
                <w:color w:val="000000"/>
                <w:sz w:val="21"/>
                <w:szCs w:val="21"/>
              </w:rPr>
              <w:t>单价</w:t>
            </w:r>
            <w:r>
              <w:rPr>
                <w:rFonts w:hint="eastAsia" w:ascii="宋体" w:hAnsi="宋体" w:eastAsia="宋体" w:cs="宋体"/>
                <w:b w:val="0"/>
                <w:bCs w:val="0"/>
                <w:color w:val="000000"/>
                <w:sz w:val="21"/>
                <w:szCs w:val="21"/>
                <w:lang w:eastAsia="zh-CN"/>
              </w:rPr>
              <w:t>（</w:t>
            </w:r>
            <w:r>
              <w:rPr>
                <w:rFonts w:hint="eastAsia" w:ascii="宋体" w:hAnsi="宋体" w:eastAsia="宋体" w:cs="宋体"/>
                <w:b w:val="0"/>
                <w:bCs w:val="0"/>
                <w:color w:val="000000"/>
                <w:sz w:val="21"/>
                <w:szCs w:val="21"/>
                <w:lang w:val="en-US" w:eastAsia="zh-CN"/>
              </w:rPr>
              <w:t>元</w:t>
            </w:r>
            <w:r>
              <w:rPr>
                <w:rFonts w:hint="eastAsia" w:ascii="宋体" w:hAnsi="宋体" w:eastAsia="宋体" w:cs="宋体"/>
                <w:b w:val="0"/>
                <w:bCs w:val="0"/>
                <w:color w:val="000000"/>
                <w:sz w:val="21"/>
                <w:szCs w:val="21"/>
                <w:lang w:eastAsia="zh-CN"/>
              </w:rPr>
              <w:t>）</w:t>
            </w:r>
          </w:p>
        </w:tc>
        <w:tc>
          <w:tcPr>
            <w:tcW w:w="1415" w:type="dxa"/>
            <w:noWrap w:val="0"/>
            <w:vAlign w:val="center"/>
          </w:tcPr>
          <w:p w14:paraId="78F9AEA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金额</w:t>
            </w:r>
          </w:p>
          <w:p w14:paraId="17124D2B">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(元)</w:t>
            </w:r>
          </w:p>
        </w:tc>
        <w:tc>
          <w:tcPr>
            <w:tcW w:w="1071" w:type="dxa"/>
            <w:noWrap w:val="0"/>
            <w:vAlign w:val="center"/>
          </w:tcPr>
          <w:p w14:paraId="1599614A">
            <w:pPr>
              <w:spacing w:line="500" w:lineRule="exact"/>
              <w:jc w:val="center"/>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增值税税率</w:t>
            </w:r>
          </w:p>
        </w:tc>
      </w:tr>
      <w:tr w14:paraId="51BE5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669" w:type="dxa"/>
            <w:noWrap w:val="0"/>
            <w:vAlign w:val="top"/>
          </w:tcPr>
          <w:p w14:paraId="2A76D2C9">
            <w:pPr>
              <w:spacing w:line="500" w:lineRule="exact"/>
              <w:jc w:val="center"/>
              <w:rPr>
                <w:rFonts w:hint="eastAsia" w:ascii="宋体" w:hAnsi="宋体" w:eastAsia="宋体" w:cs="宋体"/>
                <w:b w:val="0"/>
                <w:bCs w:val="0"/>
                <w:color w:val="000000"/>
                <w:sz w:val="21"/>
                <w:szCs w:val="21"/>
              </w:rPr>
            </w:pPr>
          </w:p>
        </w:tc>
        <w:tc>
          <w:tcPr>
            <w:tcW w:w="1284" w:type="dxa"/>
            <w:noWrap w:val="0"/>
            <w:vAlign w:val="center"/>
          </w:tcPr>
          <w:p w14:paraId="4CAD3E8A">
            <w:pPr>
              <w:spacing w:line="500" w:lineRule="exact"/>
              <w:jc w:val="center"/>
              <w:rPr>
                <w:rFonts w:hint="eastAsia" w:ascii="宋体" w:hAnsi="宋体" w:eastAsia="宋体" w:cs="宋体"/>
                <w:b w:val="0"/>
                <w:bCs w:val="0"/>
                <w:color w:val="000000"/>
                <w:sz w:val="21"/>
                <w:szCs w:val="21"/>
                <w:lang w:val="en-US" w:eastAsia="zh-CN"/>
              </w:rPr>
            </w:pPr>
          </w:p>
        </w:tc>
        <w:tc>
          <w:tcPr>
            <w:tcW w:w="976" w:type="dxa"/>
            <w:noWrap w:val="0"/>
            <w:vAlign w:val="center"/>
          </w:tcPr>
          <w:p w14:paraId="4EC75C74">
            <w:pPr>
              <w:spacing w:line="500" w:lineRule="exact"/>
              <w:jc w:val="center"/>
              <w:rPr>
                <w:rFonts w:hint="eastAsia" w:ascii="宋体" w:hAnsi="宋体" w:eastAsia="宋体" w:cs="宋体"/>
                <w:b w:val="0"/>
                <w:bCs w:val="0"/>
                <w:color w:val="000000"/>
                <w:sz w:val="21"/>
                <w:szCs w:val="21"/>
              </w:rPr>
            </w:pPr>
          </w:p>
        </w:tc>
        <w:tc>
          <w:tcPr>
            <w:tcW w:w="693" w:type="dxa"/>
            <w:noWrap w:val="0"/>
            <w:vAlign w:val="center"/>
          </w:tcPr>
          <w:p w14:paraId="09508976">
            <w:pPr>
              <w:spacing w:line="500" w:lineRule="exact"/>
              <w:jc w:val="center"/>
              <w:rPr>
                <w:rFonts w:hint="eastAsia" w:ascii="宋体" w:hAnsi="宋体" w:eastAsia="宋体" w:cs="宋体"/>
                <w:b w:val="0"/>
                <w:bCs w:val="0"/>
                <w:color w:val="000000"/>
                <w:sz w:val="21"/>
                <w:szCs w:val="21"/>
                <w:lang w:val="en-US" w:eastAsia="zh-CN"/>
              </w:rPr>
            </w:pPr>
          </w:p>
        </w:tc>
        <w:tc>
          <w:tcPr>
            <w:tcW w:w="654" w:type="dxa"/>
            <w:noWrap w:val="0"/>
            <w:vAlign w:val="center"/>
          </w:tcPr>
          <w:p w14:paraId="007291DF">
            <w:pPr>
              <w:spacing w:line="500" w:lineRule="exact"/>
              <w:jc w:val="center"/>
              <w:rPr>
                <w:rFonts w:hint="eastAsia" w:ascii="宋体" w:hAnsi="宋体" w:eastAsia="宋体" w:cs="宋体"/>
                <w:b w:val="0"/>
                <w:bCs w:val="0"/>
                <w:color w:val="000000"/>
                <w:sz w:val="21"/>
                <w:szCs w:val="21"/>
                <w:lang w:val="en-US" w:eastAsia="zh-CN"/>
              </w:rPr>
            </w:pPr>
          </w:p>
        </w:tc>
        <w:tc>
          <w:tcPr>
            <w:tcW w:w="899" w:type="dxa"/>
            <w:noWrap w:val="0"/>
            <w:vAlign w:val="center"/>
          </w:tcPr>
          <w:p w14:paraId="1562736A">
            <w:pPr>
              <w:spacing w:line="500" w:lineRule="exact"/>
              <w:jc w:val="center"/>
              <w:rPr>
                <w:rFonts w:hint="eastAsia" w:ascii="宋体" w:hAnsi="宋体" w:eastAsia="宋体" w:cs="宋体"/>
                <w:b w:val="0"/>
                <w:bCs w:val="0"/>
                <w:color w:val="000000"/>
                <w:sz w:val="21"/>
                <w:szCs w:val="21"/>
                <w:lang w:val="en-US" w:eastAsia="zh-CN"/>
              </w:rPr>
            </w:pPr>
          </w:p>
        </w:tc>
        <w:tc>
          <w:tcPr>
            <w:tcW w:w="1455" w:type="dxa"/>
            <w:noWrap w:val="0"/>
            <w:vAlign w:val="center"/>
          </w:tcPr>
          <w:p w14:paraId="7FE8BE41">
            <w:pPr>
              <w:spacing w:line="500" w:lineRule="exact"/>
              <w:jc w:val="center"/>
              <w:rPr>
                <w:rFonts w:hint="eastAsia" w:ascii="宋体" w:hAnsi="宋体" w:eastAsia="宋体" w:cs="宋体"/>
                <w:b w:val="0"/>
                <w:bCs w:val="0"/>
                <w:color w:val="000000"/>
                <w:sz w:val="21"/>
                <w:szCs w:val="21"/>
                <w:lang w:val="en-US" w:eastAsia="zh-CN"/>
              </w:rPr>
            </w:pPr>
          </w:p>
        </w:tc>
        <w:tc>
          <w:tcPr>
            <w:tcW w:w="1415" w:type="dxa"/>
            <w:noWrap w:val="0"/>
            <w:vAlign w:val="center"/>
          </w:tcPr>
          <w:p w14:paraId="5C677B18">
            <w:pPr>
              <w:spacing w:line="500" w:lineRule="exact"/>
              <w:jc w:val="center"/>
              <w:rPr>
                <w:rFonts w:hint="eastAsia" w:ascii="宋体" w:hAnsi="宋体" w:eastAsia="宋体" w:cs="宋体"/>
                <w:b w:val="0"/>
                <w:bCs w:val="0"/>
                <w:color w:val="000000"/>
                <w:sz w:val="21"/>
                <w:szCs w:val="21"/>
                <w:lang w:val="en-US" w:eastAsia="zh-CN"/>
              </w:rPr>
            </w:pPr>
          </w:p>
        </w:tc>
        <w:tc>
          <w:tcPr>
            <w:tcW w:w="1071" w:type="dxa"/>
            <w:noWrap w:val="0"/>
            <w:vAlign w:val="center"/>
          </w:tcPr>
          <w:p w14:paraId="3B49062A">
            <w:pPr>
              <w:spacing w:line="500" w:lineRule="exact"/>
              <w:jc w:val="center"/>
              <w:rPr>
                <w:rFonts w:hint="eastAsia" w:ascii="宋体" w:hAnsi="宋体" w:eastAsia="宋体" w:cs="宋体"/>
                <w:b w:val="0"/>
                <w:bCs w:val="0"/>
                <w:color w:val="000000"/>
                <w:sz w:val="21"/>
                <w:szCs w:val="21"/>
                <w:lang w:val="en-US" w:eastAsia="zh-CN"/>
              </w:rPr>
            </w:pPr>
          </w:p>
        </w:tc>
      </w:tr>
      <w:tr w14:paraId="54D61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9116" w:type="dxa"/>
            <w:gridSpan w:val="9"/>
            <w:noWrap w:val="0"/>
            <w:vAlign w:val="top"/>
          </w:tcPr>
          <w:p w14:paraId="7006D58A">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lang w:val="en-US" w:eastAsia="zh-CN"/>
              </w:rPr>
              <w:t>合计（含税）：</w:t>
            </w:r>
            <w:r>
              <w:rPr>
                <w:rFonts w:hint="eastAsia" w:ascii="宋体" w:hAnsi="宋体" w:eastAsia="宋体" w:cs="宋体"/>
                <w:b w:val="0"/>
                <w:bCs w:val="0"/>
                <w:color w:val="000000"/>
                <w:sz w:val="21"/>
                <w:szCs w:val="21"/>
                <w:u w:val="single"/>
                <w:lang w:val="en-US" w:eastAsia="zh-CN"/>
              </w:rPr>
              <w:t xml:space="preserve">           </w:t>
            </w:r>
            <w:r>
              <w:rPr>
                <w:rFonts w:hint="eastAsia" w:ascii="宋体" w:hAnsi="宋体" w:eastAsia="宋体" w:cs="宋体"/>
                <w:b w:val="0"/>
                <w:bCs w:val="0"/>
                <w:color w:val="000000"/>
                <w:sz w:val="21"/>
                <w:szCs w:val="21"/>
                <w:lang w:val="en-US" w:eastAsia="zh-CN"/>
              </w:rPr>
              <w:t>元</w:t>
            </w:r>
          </w:p>
        </w:tc>
      </w:tr>
      <w:tr w14:paraId="3AB1C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1953" w:type="dxa"/>
            <w:gridSpan w:val="2"/>
            <w:noWrap w:val="0"/>
            <w:vAlign w:val="center"/>
          </w:tcPr>
          <w:p w14:paraId="5FE0A89E">
            <w:pPr>
              <w:spacing w:line="500" w:lineRule="exact"/>
              <w:jc w:val="center"/>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合  计</w:t>
            </w:r>
          </w:p>
        </w:tc>
        <w:tc>
          <w:tcPr>
            <w:tcW w:w="7163" w:type="dxa"/>
            <w:gridSpan w:val="7"/>
            <w:noWrap w:val="0"/>
            <w:vAlign w:val="center"/>
          </w:tcPr>
          <w:p w14:paraId="1F6EB0BA">
            <w:pPr>
              <w:spacing w:line="500" w:lineRule="exact"/>
              <w:rPr>
                <w:rFonts w:hint="eastAsia" w:ascii="宋体" w:hAnsi="宋体" w:eastAsia="宋体" w:cs="宋体"/>
                <w:b w:val="0"/>
                <w:bCs w:val="0"/>
                <w:color w:val="000000"/>
                <w:sz w:val="21"/>
                <w:szCs w:val="21"/>
              </w:rPr>
            </w:pPr>
            <w:r>
              <w:rPr>
                <w:rFonts w:hint="eastAsia" w:ascii="宋体" w:hAnsi="宋体" w:eastAsia="宋体" w:cs="宋体"/>
                <w:b w:val="0"/>
                <w:bCs w:val="0"/>
                <w:color w:val="000000"/>
                <w:sz w:val="21"/>
                <w:szCs w:val="21"/>
              </w:rPr>
              <w:t>含税总价：</w:t>
            </w:r>
            <w:r>
              <w:rPr>
                <w:rFonts w:hint="eastAsia" w:ascii="宋体" w:hAnsi="宋体" w:eastAsia="宋体" w:cs="宋体"/>
                <w:b w:val="0"/>
                <w:bCs w:val="0"/>
                <w:color w:val="000000"/>
                <w:sz w:val="21"/>
                <w:szCs w:val="21"/>
                <w:lang w:val="en-US" w:eastAsia="zh-CN"/>
              </w:rPr>
              <w:t xml:space="preserve"> </w:t>
            </w:r>
          </w:p>
        </w:tc>
      </w:tr>
    </w:tbl>
    <w:p w14:paraId="3DCDBE4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二、合同价款</w:t>
      </w:r>
    </w:p>
    <w:p w14:paraId="4265897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1、合同总价：</w:t>
      </w:r>
    </w:p>
    <w:p w14:paraId="2A81CBC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2、合同总价包括：</w:t>
      </w:r>
      <w:r>
        <w:rPr>
          <w:rFonts w:hint="eastAsia" w:ascii="宋体" w:hAnsi="宋体" w:eastAsia="宋体" w:cs="宋体"/>
          <w:sz w:val="21"/>
          <w:szCs w:val="21"/>
          <w:lang w:val="en-US" w:eastAsia="zh-CN"/>
        </w:rPr>
        <w:t>完成招标文件所确定采购范围内全部工作内容的价格，</w:t>
      </w:r>
      <w:r>
        <w:rPr>
          <w:rFonts w:hint="eastAsia" w:ascii="宋体" w:hAnsi="宋体" w:eastAsia="宋体" w:cs="宋体"/>
          <w:sz w:val="21"/>
          <w:szCs w:val="21"/>
        </w:rPr>
        <w:t>包</w:t>
      </w:r>
      <w:r>
        <w:rPr>
          <w:rFonts w:hint="eastAsia" w:ascii="宋体" w:hAnsi="宋体" w:eastAsia="宋体" w:cs="宋体"/>
          <w:sz w:val="21"/>
          <w:szCs w:val="21"/>
          <w:lang w:val="en-US" w:eastAsia="zh-CN"/>
        </w:rPr>
        <w:t>含但不限于材料</w:t>
      </w:r>
      <w:r>
        <w:rPr>
          <w:rFonts w:hint="eastAsia" w:ascii="宋体" w:hAnsi="宋体" w:eastAsia="宋体" w:cs="宋体"/>
          <w:sz w:val="21"/>
          <w:szCs w:val="21"/>
          <w:lang w:eastAsia="zh-CN"/>
        </w:rPr>
        <w:t>费、</w:t>
      </w:r>
      <w:r>
        <w:rPr>
          <w:rFonts w:hint="eastAsia" w:ascii="宋体" w:hAnsi="宋体" w:eastAsia="宋体" w:cs="宋体"/>
          <w:sz w:val="21"/>
          <w:szCs w:val="21"/>
          <w:lang w:val="en-US" w:eastAsia="zh-CN"/>
        </w:rPr>
        <w:t>安装调试费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税金</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运输及运输保险费</w:t>
      </w:r>
      <w:r>
        <w:rPr>
          <w:rFonts w:hint="eastAsia" w:ascii="宋体" w:hAnsi="宋体" w:eastAsia="宋体" w:cs="宋体"/>
          <w:sz w:val="21"/>
          <w:szCs w:val="21"/>
        </w:rPr>
        <w:t>、</w:t>
      </w:r>
      <w:r>
        <w:rPr>
          <w:rFonts w:hint="eastAsia" w:ascii="宋体" w:hAnsi="宋体" w:eastAsia="宋体" w:cs="宋体"/>
          <w:sz w:val="21"/>
          <w:szCs w:val="21"/>
          <w:lang w:val="en-US" w:eastAsia="zh-CN"/>
        </w:rPr>
        <w:t>装卸费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申报有关部门检验费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质保期内维修保护费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特殊工具费</w:t>
      </w:r>
      <w:r>
        <w:rPr>
          <w:rFonts w:hint="eastAsia" w:ascii="宋体" w:hAnsi="宋体" w:eastAsia="宋体" w:cs="宋体"/>
          <w:sz w:val="21"/>
          <w:szCs w:val="21"/>
          <w:lang w:eastAsia="zh-CN"/>
        </w:rPr>
        <w:t>、</w:t>
      </w:r>
      <w:r>
        <w:rPr>
          <w:rFonts w:hint="eastAsia" w:ascii="宋体" w:hAnsi="宋体" w:eastAsia="宋体" w:cs="宋体"/>
          <w:sz w:val="21"/>
          <w:szCs w:val="21"/>
        </w:rPr>
        <w:t>售后服务费、验收费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政策性文件规定及合同包含的所有风险、责任等各项全部费用</w:t>
      </w:r>
      <w:r>
        <w:rPr>
          <w:rFonts w:hint="eastAsia" w:ascii="宋体" w:hAnsi="宋体" w:eastAsia="宋体" w:cs="宋体"/>
          <w:sz w:val="21"/>
          <w:szCs w:val="21"/>
        </w:rPr>
        <w:t>。</w:t>
      </w:r>
    </w:p>
    <w:p w14:paraId="7CB2C23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3、合同有效期内，合同总价一次包死，不受国家政策性调价或原材料价格变化及外汇汇率变化的影响，并作为最终结算的依据。</w:t>
      </w:r>
    </w:p>
    <w:p w14:paraId="5EDFCEF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三、合同结算</w:t>
      </w:r>
    </w:p>
    <w:p w14:paraId="63474F93">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highlight w:val="none"/>
        </w:rPr>
      </w:pPr>
      <w:r>
        <w:rPr>
          <w:rFonts w:hint="eastAsia" w:ascii="宋体" w:hAnsi="宋体" w:eastAsia="宋体" w:cs="宋体"/>
          <w:b/>
          <w:sz w:val="21"/>
          <w:szCs w:val="21"/>
          <w:highlight w:val="none"/>
        </w:rPr>
        <w:t>1、付款</w:t>
      </w:r>
      <w:r>
        <w:rPr>
          <w:rFonts w:hint="eastAsia" w:ascii="宋体" w:hAnsi="宋体" w:eastAsia="宋体" w:cs="宋体"/>
          <w:b/>
          <w:sz w:val="21"/>
          <w:szCs w:val="21"/>
          <w:highlight w:val="none"/>
          <w:lang w:val="en-US" w:eastAsia="zh-CN"/>
        </w:rPr>
        <w:t>方式及</w:t>
      </w:r>
      <w:r>
        <w:rPr>
          <w:rFonts w:hint="eastAsia" w:ascii="宋体" w:hAnsi="宋体" w:eastAsia="宋体" w:cs="宋体"/>
          <w:b/>
          <w:sz w:val="21"/>
          <w:szCs w:val="21"/>
          <w:highlight w:val="none"/>
        </w:rPr>
        <w:t>比例：</w:t>
      </w:r>
    </w:p>
    <w:p w14:paraId="3409AE5C">
      <w:pPr>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highlight w:val="none"/>
          <w:lang w:val="en-US" w:eastAsia="zh-CN"/>
        </w:rPr>
        <w:t>合同签订后乙方开具相应金额的全</w:t>
      </w:r>
      <w:r>
        <w:rPr>
          <w:rFonts w:hint="eastAsia" w:ascii="宋体" w:hAnsi="宋体" w:eastAsia="宋体" w:cs="宋体"/>
          <w:b w:val="0"/>
          <w:bCs/>
          <w:sz w:val="21"/>
          <w:szCs w:val="21"/>
          <w:lang w:val="en-US" w:eastAsia="zh-CN"/>
        </w:rPr>
        <w:t>额正式发票，甲方支付乙方合同总价的</w:t>
      </w:r>
      <w:r>
        <w:rPr>
          <w:rFonts w:hint="eastAsia" w:ascii="宋体" w:hAnsi="宋体" w:cs="宋体"/>
          <w:b w:val="0"/>
          <w:bCs/>
          <w:sz w:val="21"/>
          <w:szCs w:val="21"/>
          <w:lang w:val="en-US" w:eastAsia="zh-CN"/>
        </w:rPr>
        <w:t>40</w:t>
      </w:r>
      <w:r>
        <w:rPr>
          <w:rFonts w:hint="eastAsia" w:ascii="宋体" w:hAnsi="宋体" w:eastAsia="宋体" w:cs="宋体"/>
          <w:b w:val="0"/>
          <w:bCs/>
          <w:sz w:val="21"/>
          <w:szCs w:val="21"/>
          <w:lang w:val="en-US" w:eastAsia="zh-CN"/>
        </w:rPr>
        <w:t>% ，即：</w:t>
      </w:r>
      <w:r>
        <w:rPr>
          <w:rFonts w:hint="eastAsia" w:ascii="宋体" w:hAnsi="宋体" w:cs="宋体"/>
          <w:b w:val="0"/>
          <w:bCs/>
          <w:sz w:val="21"/>
          <w:szCs w:val="21"/>
          <w:u w:val="single"/>
          <w:lang w:val="en-US" w:eastAsia="zh-CN"/>
        </w:rPr>
        <w:t xml:space="preserve">   </w:t>
      </w:r>
      <w:r>
        <w:rPr>
          <w:rFonts w:hint="eastAsia" w:ascii="宋体" w:hAnsi="宋体" w:eastAsia="宋体" w:cs="宋体"/>
          <w:b w:val="0"/>
          <w:bCs/>
          <w:sz w:val="21"/>
          <w:szCs w:val="21"/>
          <w:lang w:val="en-US" w:eastAsia="zh-CN"/>
        </w:rPr>
        <w:t>元；乙方将所有货物供至甲方指定地点后，由乙方提出书面验收申请，自申请之日起7个工作日内，甲方组织相关专家进行验收。经验收合格后30日内甲方支付乙方剩余</w:t>
      </w:r>
      <w:r>
        <w:rPr>
          <w:rFonts w:hint="eastAsia" w:ascii="宋体" w:hAnsi="宋体" w:cs="宋体"/>
          <w:b w:val="0"/>
          <w:bCs/>
          <w:sz w:val="21"/>
          <w:szCs w:val="21"/>
          <w:lang w:val="en-US" w:eastAsia="zh-CN"/>
        </w:rPr>
        <w:t>60</w:t>
      </w:r>
      <w:r>
        <w:rPr>
          <w:rFonts w:hint="eastAsia" w:ascii="宋体" w:hAnsi="宋体" w:eastAsia="宋体" w:cs="宋体"/>
          <w:b w:val="0"/>
          <w:bCs/>
          <w:sz w:val="21"/>
          <w:szCs w:val="21"/>
          <w:lang w:val="en-US" w:eastAsia="zh-CN"/>
        </w:rPr>
        <w:t>%货款，即：</w:t>
      </w:r>
      <w:r>
        <w:rPr>
          <w:rFonts w:hint="eastAsia" w:ascii="宋体" w:hAnsi="宋体" w:cs="宋体"/>
          <w:b w:val="0"/>
          <w:bCs/>
          <w:sz w:val="21"/>
          <w:szCs w:val="21"/>
          <w:u w:val="single"/>
          <w:lang w:val="en-US" w:eastAsia="zh-CN"/>
        </w:rPr>
        <w:t xml:space="preserve">     </w:t>
      </w:r>
      <w:r>
        <w:rPr>
          <w:rFonts w:hint="eastAsia" w:ascii="宋体" w:hAnsi="宋体" w:eastAsia="宋体" w:cs="宋体"/>
          <w:b w:val="0"/>
          <w:bCs/>
          <w:sz w:val="21"/>
          <w:szCs w:val="21"/>
          <w:lang w:val="en-US" w:eastAsia="zh-CN"/>
        </w:rPr>
        <w:t>元。</w:t>
      </w:r>
    </w:p>
    <w:p w14:paraId="4F9FB3A0">
      <w:pPr>
        <w:keepNext w:val="0"/>
        <w:keepLines w:val="0"/>
        <w:pageBreakBefore w:val="0"/>
        <w:widowControl w:val="0"/>
        <w:kinsoku/>
        <w:wordWrap/>
        <w:overflowPunct/>
        <w:topLinePunct w:val="0"/>
        <w:autoSpaceDE/>
        <w:autoSpaceDN/>
        <w:bidi w:val="0"/>
        <w:adjustRightInd/>
        <w:spacing w:line="360" w:lineRule="auto"/>
        <w:ind w:left="0" w:leftChars="0" w:firstLine="422" w:firstLineChars="200"/>
        <w:rPr>
          <w:rFonts w:hint="eastAsia" w:ascii="宋体" w:hAnsi="宋体" w:eastAsia="宋体" w:cs="宋体"/>
          <w:b/>
          <w:sz w:val="21"/>
          <w:szCs w:val="21"/>
        </w:rPr>
      </w:pPr>
      <w:r>
        <w:rPr>
          <w:rFonts w:hint="eastAsia" w:ascii="宋体" w:hAnsi="宋体" w:eastAsia="宋体" w:cs="宋体"/>
          <w:b/>
          <w:sz w:val="21"/>
          <w:szCs w:val="21"/>
        </w:rPr>
        <w:t>2、结算方式：银行转账。</w:t>
      </w:r>
    </w:p>
    <w:p w14:paraId="506B1B3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四、交货条件:</w:t>
      </w:r>
    </w:p>
    <w:p w14:paraId="254ECC3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b w:val="0"/>
          <w:bCs/>
          <w:sz w:val="21"/>
          <w:szCs w:val="21"/>
        </w:rPr>
      </w:pPr>
      <w:r>
        <w:rPr>
          <w:rFonts w:hint="eastAsia" w:ascii="宋体" w:hAnsi="宋体" w:eastAsia="宋体" w:cs="宋体"/>
          <w:b w:val="0"/>
          <w:bCs/>
          <w:sz w:val="21"/>
          <w:szCs w:val="21"/>
        </w:rPr>
        <w:t>交货地点：</w:t>
      </w:r>
      <w:r>
        <w:rPr>
          <w:rFonts w:hint="eastAsia" w:ascii="宋体" w:hAnsi="宋体" w:cs="宋体"/>
          <w:b w:val="0"/>
          <w:bCs/>
          <w:sz w:val="21"/>
          <w:szCs w:val="21"/>
          <w:u w:val="single"/>
          <w:lang w:val="en-US" w:eastAsia="zh-CN"/>
        </w:rPr>
        <w:t xml:space="preserve">            </w:t>
      </w:r>
      <w:r>
        <w:rPr>
          <w:rFonts w:hint="eastAsia" w:ascii="宋体" w:hAnsi="宋体" w:eastAsia="宋体" w:cs="宋体"/>
          <w:b w:val="0"/>
          <w:bCs/>
          <w:sz w:val="21"/>
          <w:szCs w:val="21"/>
        </w:rPr>
        <w:t>。</w:t>
      </w:r>
    </w:p>
    <w:p w14:paraId="0ED021D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五</w:t>
      </w:r>
      <w:r>
        <w:rPr>
          <w:rFonts w:hint="eastAsia" w:ascii="宋体" w:hAnsi="宋体" w:eastAsia="宋体" w:cs="宋体"/>
          <w:sz w:val="21"/>
          <w:szCs w:val="21"/>
        </w:rPr>
        <w:t>、</w:t>
      </w:r>
      <w:r>
        <w:rPr>
          <w:rFonts w:hint="eastAsia" w:ascii="宋体" w:hAnsi="宋体" w:eastAsia="宋体" w:cs="宋体"/>
          <w:sz w:val="21"/>
          <w:szCs w:val="21"/>
          <w:lang w:val="en-US" w:eastAsia="zh-CN"/>
        </w:rPr>
        <w:t>交货期：</w:t>
      </w:r>
      <w:r>
        <w:rPr>
          <w:rFonts w:hint="eastAsia" w:ascii="宋体" w:hAnsi="宋体" w:eastAsia="宋体" w:cs="宋体"/>
          <w:b/>
          <w:sz w:val="21"/>
          <w:szCs w:val="21"/>
          <w:u w:val="single"/>
          <w:lang w:val="en-US" w:eastAsia="zh-CN"/>
        </w:rPr>
        <w:t xml:space="preserve">              </w:t>
      </w:r>
    </w:p>
    <w:p w14:paraId="1A1F3B6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六、</w:t>
      </w:r>
      <w:r>
        <w:rPr>
          <w:rFonts w:hint="eastAsia" w:ascii="宋体" w:hAnsi="宋体" w:eastAsia="宋体" w:cs="宋体"/>
          <w:sz w:val="21"/>
          <w:szCs w:val="21"/>
        </w:rPr>
        <w:t>质量</w:t>
      </w:r>
      <w:r>
        <w:rPr>
          <w:rFonts w:hint="eastAsia" w:ascii="宋体" w:hAnsi="宋体" w:cs="宋体"/>
          <w:sz w:val="21"/>
          <w:szCs w:val="21"/>
          <w:lang w:val="en-US" w:eastAsia="zh-CN"/>
        </w:rPr>
        <w:t>保修范围和质保期</w:t>
      </w:r>
    </w:p>
    <w:p w14:paraId="3AF69B52">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w:t>
      </w:r>
    </w:p>
    <w:p w14:paraId="73E5846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（2）在质量保证期内，如果货物的质量、规格、技术指标等与合同有任何一项不符，买方应尽快以书面形式向卖方提出索赔。同时应向政府采购管理部门报告。</w:t>
      </w:r>
    </w:p>
    <w:p w14:paraId="3E32147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（3）卖方在收到买方的通知后，应及时免费维修或更换有缺陷的货物或部件，并相应延长保修期限。具体响应时限见专用合同条款。</w:t>
      </w:r>
    </w:p>
    <w:p w14:paraId="7F47168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（4）如果卖方在收到通知后，没有在上述专用合同条款中规定的时限内及时弥补缺陷，买方可采取必要的补救措施，但其风险和费用将由卖方承担，买方根据合同规定对卖方行使的其它权力不受影响。</w:t>
      </w:r>
    </w:p>
    <w:p w14:paraId="32D1F6B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（5）质量保修期：</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p>
    <w:p w14:paraId="1756B14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七、技术服务</w:t>
      </w:r>
    </w:p>
    <w:p w14:paraId="1FBDB74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1、对技术服务的要求：</w:t>
      </w:r>
    </w:p>
    <w:p w14:paraId="4BA2784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2、技术资料：</w:t>
      </w:r>
    </w:p>
    <w:p w14:paraId="151942F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2-1、产品合格证及检验报告；</w:t>
      </w:r>
    </w:p>
    <w:p w14:paraId="486E879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2-2、产品使用说明书（中文）；</w:t>
      </w:r>
    </w:p>
    <w:p w14:paraId="3584616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2-3、其它资料。</w:t>
      </w:r>
    </w:p>
    <w:p w14:paraId="16C6096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3、技术培训：</w:t>
      </w:r>
    </w:p>
    <w:p w14:paraId="38A610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3-1、培训内容：</w:t>
      </w:r>
    </w:p>
    <w:p w14:paraId="391BD37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3-2、培训地点：</w:t>
      </w:r>
    </w:p>
    <w:p w14:paraId="360C52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3-3、培训时间：</w:t>
      </w:r>
    </w:p>
    <w:p w14:paraId="6A44AA5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3-4、培训人数：</w:t>
      </w:r>
    </w:p>
    <w:p w14:paraId="5FF2087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3-5、培训费用：受训人员的食宿费、资料费、培训场地费、耗材（包括水电费等）费等已包含在合同总价中，甲方不再另行支付。</w:t>
      </w:r>
    </w:p>
    <w:p w14:paraId="705EFD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4、售后服务</w:t>
      </w:r>
    </w:p>
    <w:p w14:paraId="48C577D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4-1、乙方在接到甲方保修电话故障通知后在</w:t>
      </w:r>
      <w:r>
        <w:rPr>
          <w:rFonts w:hint="eastAsia" w:ascii="宋体" w:hAnsi="宋体" w:eastAsia="宋体" w:cs="宋体"/>
          <w:sz w:val="21"/>
          <w:szCs w:val="21"/>
          <w:u w:val="single"/>
        </w:rPr>
        <w:t xml:space="preserve">   </w:t>
      </w:r>
      <w:r>
        <w:rPr>
          <w:rFonts w:hint="eastAsia" w:ascii="宋体" w:hAnsi="宋体" w:eastAsia="宋体" w:cs="宋体"/>
          <w:sz w:val="21"/>
          <w:szCs w:val="21"/>
        </w:rPr>
        <w:t>小时内派出合格的维修人员到达现场进行维修服务，承担相应费用，若需将产品送回生产厂，乙方应提供备用机、承担维修设备所需的往返费用。</w:t>
      </w:r>
    </w:p>
    <w:p w14:paraId="23ACC35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4-2、如果乙方在收到通知后2天内没有弥补缺陷，甲方可采取必要的补救措施，但其风险和费用将由乙方承担，甲方根据合同规定对乙方行使的其它权力不受影响。甲方亦可从质保金中扣回索赔金额。</w:t>
      </w:r>
    </w:p>
    <w:p w14:paraId="72F16CC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5、伴随服务</w:t>
      </w:r>
    </w:p>
    <w:p w14:paraId="5DAE1D7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5-1、乙方应随同每套货物提供相应的中文的技术文件。</w:t>
      </w:r>
    </w:p>
    <w:p w14:paraId="01F2C9C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5-1-1、完整的操作使用手册和维护、修理技术文件，图纸、保修卡等。</w:t>
      </w:r>
    </w:p>
    <w:p w14:paraId="62D4835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5-1-2、制造厂的检验、测试报告、设备检验合格证书，计量合格等级证书，质量保证书等文件须随设备装箱提供。</w:t>
      </w:r>
    </w:p>
    <w:p w14:paraId="5D09C529">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5-1-3、必须的其它技术资料。</w:t>
      </w:r>
    </w:p>
    <w:p w14:paraId="0F22F70E">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5-2、伴随服务的费用已含在合同价中，不单独进行支付。</w:t>
      </w:r>
    </w:p>
    <w:p w14:paraId="31B72CB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6、包装要求</w:t>
      </w:r>
    </w:p>
    <w:p w14:paraId="3099045F">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6-1、除合同另有规定外，乙方提供的全部货物，均应按标准保护措施进行包装，并确保货物安全无损运抵甲方指定地点。</w:t>
      </w:r>
    </w:p>
    <w:p w14:paraId="3D6886F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6-2、每一个包装箱内应附一份详细装箱单和质量合格证。</w:t>
      </w:r>
    </w:p>
    <w:p w14:paraId="39A423B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7、乙方应保证甲方在使用该货物或其任何一部分时免受第三方提出侵犯其专利权·商标权或工业设计权的起诉。</w:t>
      </w:r>
    </w:p>
    <w:p w14:paraId="3C95A03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八、验收</w:t>
      </w:r>
    </w:p>
    <w:p w14:paraId="6FF8EB7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1、到货验收：货物到货后，由甲方与乙方共同进行外观验收，验收内容包括，外包装的完好性，货物品牌、规格、数量及产地与合同要求的一致性。</w:t>
      </w:r>
    </w:p>
    <w:p w14:paraId="27CF3425">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2、货物运行验收：乙方安装调试合格后，向甲方提出验收申请，甲方接到乙方验收申请后组织验收（必要时可聘请相应专家或委托相应部门验收），验收合格后，出具使用验收合格证明。</w:t>
      </w:r>
    </w:p>
    <w:p w14:paraId="798B94B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3、最终验收：最终验收结果作为付款依据，乙方填写验收单，并向甲方提交实施过程中的所有资料，以便甲方日后管理和维护。</w:t>
      </w:r>
    </w:p>
    <w:p w14:paraId="1125B136">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4、质保期满后：由乙方出具质保期运行质量报告，若存在质量问题，应按相应规定协商处理。</w:t>
      </w:r>
    </w:p>
    <w:p w14:paraId="300F2AE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5、验收依据：</w:t>
      </w:r>
    </w:p>
    <w:p w14:paraId="70E18E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5-1、合同文本、合同附件、招标文件、投标文件。</w:t>
      </w:r>
    </w:p>
    <w:p w14:paraId="09BFFD05">
      <w:pPr>
        <w:pStyle w:val="6"/>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lang w:val="en-US" w:eastAsia="zh-CN"/>
        </w:rPr>
        <w:t>5-2、现行的国家标</w:t>
      </w:r>
      <w:r>
        <w:rPr>
          <w:rFonts w:hint="eastAsia" w:ascii="宋体" w:hAnsi="宋体" w:eastAsia="宋体" w:cs="宋体"/>
          <w:sz w:val="21"/>
          <w:szCs w:val="21"/>
          <w:highlight w:val="none"/>
          <w:lang w:val="en-US" w:eastAsia="zh-CN"/>
        </w:rPr>
        <w:t>准或国家行政部门颁布的法律法规、规章制度等，是项目验收的另一个重要依据。没有国家标准的，可以参考行业标准。</w:t>
      </w:r>
    </w:p>
    <w:p w14:paraId="108A135C">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九、违约责任</w:t>
      </w:r>
    </w:p>
    <w:p w14:paraId="645D6A6F">
      <w:pPr>
        <w:keepNext w:val="0"/>
        <w:keepLines w:val="0"/>
        <w:pageBreakBefore w:val="0"/>
        <w:widowControl w:val="0"/>
        <w:tabs>
          <w:tab w:val="left" w:pos="1125"/>
        </w:tabs>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按《</w:t>
      </w:r>
      <w:r>
        <w:rPr>
          <w:rFonts w:hint="eastAsia" w:ascii="宋体" w:hAnsi="宋体" w:eastAsia="宋体" w:cs="宋体"/>
          <w:sz w:val="21"/>
          <w:szCs w:val="21"/>
          <w:highlight w:val="none"/>
          <w:lang w:val="en-US" w:eastAsia="zh-CN"/>
        </w:rPr>
        <w:t>民法典</w:t>
      </w:r>
      <w:r>
        <w:rPr>
          <w:rFonts w:hint="eastAsia" w:ascii="宋体" w:hAnsi="宋体" w:eastAsia="宋体" w:cs="宋体"/>
          <w:sz w:val="21"/>
          <w:szCs w:val="21"/>
          <w:highlight w:val="none"/>
        </w:rPr>
        <w:t>》中的相关条款执行。</w:t>
      </w:r>
    </w:p>
    <w:p w14:paraId="38262B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2、乙方履约延误</w:t>
      </w:r>
    </w:p>
    <w:p w14:paraId="56FEA42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2-1、如乙方事先未征得甲方同意并得到甲方的谅解而单方面延迟交货，将按违约终止合同。</w:t>
      </w:r>
    </w:p>
    <w:p w14:paraId="085A74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rPr>
        <w:t>%计收，直至交货或提供服务为止。误期赔偿费的最高限额为合同价格的</w:t>
      </w:r>
      <w:r>
        <w:rPr>
          <w:rFonts w:hint="eastAsia" w:ascii="宋体" w:hAnsi="宋体" w:cs="宋体"/>
          <w:sz w:val="21"/>
          <w:szCs w:val="21"/>
          <w:highlight w:val="none"/>
          <w:u w:val="single"/>
          <w:lang w:val="en-US" w:eastAsia="zh-CN"/>
        </w:rPr>
        <w:t xml:space="preserve">      </w:t>
      </w:r>
      <w:r>
        <w:rPr>
          <w:rFonts w:hint="eastAsia" w:ascii="宋体" w:hAnsi="宋体" w:eastAsia="宋体" w:cs="宋体"/>
          <w:sz w:val="21"/>
          <w:szCs w:val="21"/>
          <w:highlight w:val="none"/>
        </w:rPr>
        <w:t>%。一旦达到误期赔偿费的最高限额，甲方可终止合同。</w:t>
      </w:r>
    </w:p>
    <w:p w14:paraId="4DE56A5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十、合同组成</w:t>
      </w:r>
    </w:p>
    <w:p w14:paraId="60B83AE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1、中标通知书</w:t>
      </w:r>
    </w:p>
    <w:p w14:paraId="349E45BD">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2、合同文件</w:t>
      </w:r>
    </w:p>
    <w:p w14:paraId="1D9D321A">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3、国家相关规范及标准</w:t>
      </w:r>
    </w:p>
    <w:p w14:paraId="0A27E027">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4、供货设备技术规格及参数表</w:t>
      </w:r>
    </w:p>
    <w:p w14:paraId="20D1B2EB">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5、招标文件</w:t>
      </w:r>
    </w:p>
    <w:p w14:paraId="6FFC85B1">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6、投标文件</w:t>
      </w:r>
    </w:p>
    <w:p w14:paraId="231F3A4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十一、合同生效及其它</w:t>
      </w:r>
    </w:p>
    <w:p w14:paraId="37284444">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1、合同未尽事宜、由甲、乙双方协商，作为合同补充，与原合同具有同等法律效力。</w:t>
      </w:r>
    </w:p>
    <w:p w14:paraId="06813353">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2、 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份，甲方、乙方双方分别执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份。</w:t>
      </w:r>
      <w:r>
        <w:rPr>
          <w:rFonts w:hint="eastAsia" w:ascii="宋体" w:hAnsi="宋体" w:eastAsia="宋体" w:cs="宋体"/>
          <w:sz w:val="21"/>
          <w:szCs w:val="21"/>
          <w:lang w:val="en-US" w:eastAsia="zh-CN"/>
        </w:rPr>
        <w:t xml:space="preserve">   </w:t>
      </w:r>
    </w:p>
    <w:p w14:paraId="025FB730">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3、合同经甲乙双方盖章、签字后生效，合同签订地点为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w:t>
      </w:r>
    </w:p>
    <w:p w14:paraId="39D07B08">
      <w:pPr>
        <w:keepNext w:val="0"/>
        <w:keepLines w:val="0"/>
        <w:pageBreakBefore w:val="0"/>
        <w:widowControl w:val="0"/>
        <w:kinsoku/>
        <w:wordWrap/>
        <w:overflowPunct/>
        <w:topLinePunct w:val="0"/>
        <w:autoSpaceDE/>
        <w:autoSpaceDN/>
        <w:bidi w:val="0"/>
        <w:adjustRightInd/>
        <w:spacing w:line="360" w:lineRule="auto"/>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4、生效时间：   年  月  日</w:t>
      </w:r>
    </w:p>
    <w:tbl>
      <w:tblPr>
        <w:tblStyle w:val="4"/>
        <w:tblW w:w="0" w:type="auto"/>
        <w:jc w:val="center"/>
        <w:tblLayout w:type="fixed"/>
        <w:tblCellMar>
          <w:top w:w="0" w:type="dxa"/>
          <w:left w:w="108" w:type="dxa"/>
          <w:bottom w:w="0" w:type="dxa"/>
          <w:right w:w="108" w:type="dxa"/>
        </w:tblCellMar>
      </w:tblPr>
      <w:tblGrid>
        <w:gridCol w:w="4497"/>
        <w:gridCol w:w="4496"/>
      </w:tblGrid>
      <w:tr w14:paraId="54DBD7A5">
        <w:tblPrEx>
          <w:tblCellMar>
            <w:top w:w="0" w:type="dxa"/>
            <w:left w:w="108" w:type="dxa"/>
            <w:bottom w:w="0" w:type="dxa"/>
            <w:right w:w="108" w:type="dxa"/>
          </w:tblCellMar>
        </w:tblPrEx>
        <w:trPr>
          <w:jc w:val="center"/>
        </w:trPr>
        <w:tc>
          <w:tcPr>
            <w:tcW w:w="4497" w:type="dxa"/>
            <w:noWrap w:val="0"/>
            <w:vAlign w:val="top"/>
          </w:tcPr>
          <w:p w14:paraId="63E9469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甲方名称（盖章）:</w:t>
            </w:r>
          </w:p>
          <w:p w14:paraId="74B15B1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35CA503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28A13CF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656937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6CB2CA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c>
          <w:tcPr>
            <w:tcW w:w="4496" w:type="dxa"/>
            <w:noWrap w:val="0"/>
            <w:vAlign w:val="top"/>
          </w:tcPr>
          <w:p w14:paraId="06FFC70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乙方名称（盖章）:</w:t>
            </w:r>
          </w:p>
          <w:p w14:paraId="0A49F70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地址：</w:t>
            </w:r>
          </w:p>
          <w:p w14:paraId="7F5CF36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代表人（签字）：</w:t>
            </w:r>
          </w:p>
          <w:p w14:paraId="5B77003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电话：</w:t>
            </w:r>
          </w:p>
          <w:p w14:paraId="51CA104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开户银行：</w:t>
            </w:r>
          </w:p>
          <w:p w14:paraId="406D4E65">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帐号：</w:t>
            </w:r>
          </w:p>
        </w:tc>
      </w:tr>
    </w:tbl>
    <w:p w14:paraId="0220ACB7"/>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0809C6"/>
    <w:rsid w:val="083F2B06"/>
    <w:rsid w:val="086D6E3B"/>
    <w:rsid w:val="12EA31D2"/>
    <w:rsid w:val="170809C6"/>
    <w:rsid w:val="22781A3D"/>
    <w:rsid w:val="29507ADC"/>
    <w:rsid w:val="325D78EF"/>
    <w:rsid w:val="33296443"/>
    <w:rsid w:val="3A7A0959"/>
    <w:rsid w:val="52AD40C8"/>
    <w:rsid w:val="5A2F1813"/>
    <w:rsid w:val="6122434D"/>
    <w:rsid w:val="662B5F6E"/>
    <w:rsid w:val="6B7822AA"/>
    <w:rsid w:val="6E1021E6"/>
    <w:rsid w:val="73924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center"/>
    </w:pPr>
  </w:style>
  <w:style w:type="paragraph" w:styleId="3">
    <w:name w:val="Body Text Indent"/>
    <w:basedOn w:val="1"/>
    <w:qFormat/>
    <w:uiPriority w:val="0"/>
    <w:pPr>
      <w:spacing w:after="120" w:afterLines="0" w:afterAutospacing="0"/>
      <w:ind w:left="420" w:leftChars="200"/>
    </w:pPr>
  </w:style>
  <w:style w:type="paragraph" w:customStyle="1" w:styleId="6">
    <w:name w:val="MessageHeader"/>
    <w:basedOn w:val="1"/>
    <w:next w:val="7"/>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7">
    <w:name w:val="BodyText"/>
    <w:basedOn w:val="1"/>
    <w:next w:val="1"/>
    <w:qFormat/>
    <w:uiPriority w:val="0"/>
    <w:pPr>
      <w:jc w:val="center"/>
      <w:textAlignment w:val="baseline"/>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2347</Words>
  <Characters>2400</Characters>
  <Lines>0</Lines>
  <Paragraphs>0</Paragraphs>
  <TotalTime>47</TotalTime>
  <ScaleCrop>false</ScaleCrop>
  <LinksUpToDate>false</LinksUpToDate>
  <CharactersWithSpaces>2506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2025-07-11T01:58:00Z</dcterms:created>
  <dc:creator>蒲公瑛</dc:creator>
  <cp:lastModifiedBy>GuoC</cp:lastModifiedBy>
  <dcterms:modified xsi:type="dcterms:W3CDTF">2026-01-23T09:41:34Z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57F1F8E4E19F4B1E8EADBABB5B6B2821_11</vt:lpwstr>
  </property>
  <property fmtid="{D5CDD505-2E9C-101B-9397-08002B2CF9AE}" pid="4" name="KSOTemplateDocerSaveRecord">
    <vt:lpwstr>eyJoZGlkIjoiMjMyMjQ3NWZiMzY3ZGRlYWM4ZTc5M2RlNjk3ZDU4ODQiLCJ1c2VySWQiOiI0NTcxNjM2MzMifQ==</vt:lpwstr>
  </property>
</Properties>
</file>